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76DFC" w14:textId="624C581D" w:rsidR="00AA0DB5" w:rsidRPr="002A460C" w:rsidRDefault="002A460C" w:rsidP="002A460C">
      <w:pPr>
        <w:pStyle w:val="Title"/>
        <w:jc w:val="center"/>
        <w:rPr>
          <w:rFonts w:asciiTheme="minorHAnsi" w:hAnsiTheme="minorHAnsi" w:cstheme="minorHAnsi"/>
          <w:b/>
          <w:sz w:val="52"/>
          <w:szCs w:val="24"/>
        </w:rPr>
      </w:pPr>
      <w:r w:rsidRPr="002A460C">
        <w:rPr>
          <w:rFonts w:asciiTheme="minorHAnsi" w:hAnsiTheme="minorHAnsi" w:cstheme="minorHAnsi"/>
          <w:b/>
          <w:sz w:val="52"/>
          <w:szCs w:val="24"/>
        </w:rPr>
        <w:t>Appendix A</w:t>
      </w:r>
    </w:p>
    <w:p w14:paraId="4E8554FD" w14:textId="54285744" w:rsidR="002A460C" w:rsidRDefault="002A460C" w:rsidP="002A460C"/>
    <w:p w14:paraId="2AA8A219" w14:textId="77777777" w:rsidR="002A460C" w:rsidRPr="002A460C" w:rsidRDefault="002A460C" w:rsidP="002A460C"/>
    <w:p w14:paraId="56BFBE0C" w14:textId="0C2477F3" w:rsidR="006B393C" w:rsidRPr="002A460C" w:rsidRDefault="00AA0DB5" w:rsidP="00182127">
      <w:pPr>
        <w:pStyle w:val="Title"/>
        <w:rPr>
          <w:rFonts w:asciiTheme="minorHAnsi" w:hAnsiTheme="minorHAnsi" w:cstheme="minorHAnsi"/>
          <w:b/>
          <w:sz w:val="52"/>
          <w:szCs w:val="52"/>
        </w:rPr>
      </w:pPr>
      <w:r w:rsidRPr="002A460C">
        <w:rPr>
          <w:rFonts w:asciiTheme="minorHAnsi" w:hAnsiTheme="minorHAnsi" w:cstheme="minorHAnsi"/>
          <w:b/>
          <w:sz w:val="52"/>
          <w:szCs w:val="52"/>
        </w:rPr>
        <w:t>Evaluation of the UNC System Laboratory Schools Initiative</w:t>
      </w:r>
      <w:r w:rsidR="006B393C" w:rsidRPr="002A460C">
        <w:rPr>
          <w:rFonts w:asciiTheme="minorHAnsi" w:hAnsiTheme="minorHAnsi" w:cstheme="minorHAnsi"/>
          <w:b/>
          <w:sz w:val="52"/>
          <w:szCs w:val="52"/>
        </w:rPr>
        <w:t xml:space="preserve">  </w:t>
      </w:r>
    </w:p>
    <w:p w14:paraId="269007E8" w14:textId="77777777" w:rsidR="00182127" w:rsidRPr="002A460C" w:rsidRDefault="00182127" w:rsidP="00182127">
      <w:pPr>
        <w:rPr>
          <w:rFonts w:cstheme="minorHAnsi"/>
          <w:b/>
          <w:sz w:val="32"/>
        </w:rPr>
      </w:pPr>
    </w:p>
    <w:p w14:paraId="485D4B7E" w14:textId="26E58CF2" w:rsidR="00AA0DB5" w:rsidRPr="002A460C" w:rsidRDefault="00AA0DB5" w:rsidP="00182127">
      <w:pPr>
        <w:rPr>
          <w:rFonts w:cstheme="minorHAnsi"/>
          <w:b/>
          <w:sz w:val="40"/>
          <w:szCs w:val="40"/>
        </w:rPr>
      </w:pPr>
      <w:r w:rsidRPr="002A460C">
        <w:rPr>
          <w:rFonts w:cstheme="minorHAnsi"/>
          <w:b/>
          <w:sz w:val="40"/>
          <w:szCs w:val="40"/>
        </w:rPr>
        <w:t xml:space="preserve">November </w:t>
      </w:r>
      <w:r w:rsidR="008B6261" w:rsidRPr="002A460C">
        <w:rPr>
          <w:rFonts w:cstheme="minorHAnsi"/>
          <w:b/>
          <w:sz w:val="40"/>
          <w:szCs w:val="40"/>
        </w:rPr>
        <w:t>20</w:t>
      </w:r>
      <w:r w:rsidR="00D24262">
        <w:rPr>
          <w:rFonts w:cstheme="minorHAnsi"/>
          <w:b/>
          <w:sz w:val="40"/>
          <w:szCs w:val="40"/>
        </w:rPr>
        <w:t>20</w:t>
      </w:r>
      <w:r w:rsidR="008B6261" w:rsidRPr="002A460C">
        <w:rPr>
          <w:rFonts w:cstheme="minorHAnsi"/>
          <w:b/>
          <w:sz w:val="40"/>
          <w:szCs w:val="40"/>
        </w:rPr>
        <w:t xml:space="preserve"> </w:t>
      </w:r>
      <w:r w:rsidR="007C01B0" w:rsidRPr="002A460C">
        <w:rPr>
          <w:rFonts w:cstheme="minorHAnsi"/>
          <w:b/>
          <w:sz w:val="40"/>
          <w:szCs w:val="40"/>
        </w:rPr>
        <w:t>Report</w:t>
      </w:r>
    </w:p>
    <w:p w14:paraId="31D99E78" w14:textId="77777777" w:rsidR="00AA0DB5" w:rsidRPr="002A460C" w:rsidRDefault="00AA0DB5" w:rsidP="00AA0DB5">
      <w:pPr>
        <w:rPr>
          <w:rFonts w:cstheme="minorHAnsi"/>
        </w:rPr>
      </w:pPr>
    </w:p>
    <w:p w14:paraId="65CC35D0" w14:textId="77777777" w:rsidR="00182127" w:rsidRPr="002A460C" w:rsidRDefault="00182127" w:rsidP="00182127">
      <w:pPr>
        <w:rPr>
          <w:rFonts w:cstheme="minorHAnsi"/>
        </w:rPr>
      </w:pPr>
    </w:p>
    <w:p w14:paraId="2412C888" w14:textId="77777777" w:rsidR="00AA0DB5" w:rsidRPr="002A460C" w:rsidRDefault="00AA0DB5" w:rsidP="00856B1A">
      <w:pPr>
        <w:pStyle w:val="Title"/>
        <w:rPr>
          <w:rFonts w:asciiTheme="minorHAnsi" w:hAnsiTheme="minorHAnsi" w:cstheme="minorHAnsi"/>
          <w:b/>
          <w:sz w:val="28"/>
          <w:szCs w:val="24"/>
        </w:rPr>
      </w:pPr>
    </w:p>
    <w:p w14:paraId="7FA3C4D2" w14:textId="77777777" w:rsidR="00AA0DB5" w:rsidRPr="002A460C" w:rsidRDefault="00AA0DB5" w:rsidP="00856B1A">
      <w:pPr>
        <w:pStyle w:val="Title"/>
        <w:rPr>
          <w:rFonts w:asciiTheme="minorHAnsi" w:hAnsiTheme="minorHAnsi" w:cstheme="minorHAnsi"/>
          <w:b/>
          <w:sz w:val="28"/>
          <w:szCs w:val="24"/>
        </w:rPr>
      </w:pPr>
    </w:p>
    <w:p w14:paraId="694B6F3A" w14:textId="77777777" w:rsidR="00C444D2" w:rsidRPr="002A460C" w:rsidRDefault="00C444D2" w:rsidP="00856B1A">
      <w:pPr>
        <w:pStyle w:val="Title"/>
        <w:rPr>
          <w:rFonts w:asciiTheme="minorHAnsi" w:hAnsiTheme="minorHAnsi" w:cstheme="minorHAnsi"/>
          <w:b/>
          <w:sz w:val="28"/>
          <w:szCs w:val="24"/>
        </w:rPr>
      </w:pPr>
    </w:p>
    <w:p w14:paraId="79712739" w14:textId="77777777" w:rsidR="004F5828" w:rsidRPr="002A460C" w:rsidRDefault="004F5828" w:rsidP="004F5828">
      <w:pPr>
        <w:rPr>
          <w:rFonts w:cstheme="minorHAnsi"/>
        </w:rPr>
      </w:pPr>
    </w:p>
    <w:p w14:paraId="0DF70301" w14:textId="77777777" w:rsidR="00C444D2" w:rsidRPr="002A460C" w:rsidRDefault="00C444D2" w:rsidP="00856B1A">
      <w:pPr>
        <w:pStyle w:val="Title"/>
        <w:rPr>
          <w:rFonts w:asciiTheme="minorHAnsi" w:hAnsiTheme="minorHAnsi" w:cstheme="minorHAnsi"/>
          <w:b/>
          <w:sz w:val="28"/>
          <w:szCs w:val="24"/>
        </w:rPr>
      </w:pPr>
    </w:p>
    <w:p w14:paraId="583AE54D" w14:textId="4995D1F8" w:rsidR="00C444D2" w:rsidRPr="002A460C" w:rsidRDefault="00301A22" w:rsidP="00856B1A">
      <w:pPr>
        <w:pStyle w:val="Title"/>
        <w:rPr>
          <w:rFonts w:asciiTheme="minorHAnsi" w:hAnsiTheme="minorHAnsi" w:cstheme="minorHAnsi"/>
          <w:sz w:val="32"/>
          <w:szCs w:val="32"/>
        </w:rPr>
      </w:pPr>
      <w:r w:rsidRPr="002A460C">
        <w:rPr>
          <w:rFonts w:asciiTheme="minorHAnsi" w:hAnsiTheme="minorHAnsi" w:cstheme="minorHAnsi"/>
          <w:sz w:val="32"/>
          <w:szCs w:val="32"/>
        </w:rPr>
        <w:t>Education Policy Initiative at Carolina</w:t>
      </w:r>
      <w:r w:rsidR="008142CF" w:rsidRPr="002A460C">
        <w:rPr>
          <w:rFonts w:asciiTheme="minorHAnsi" w:hAnsiTheme="minorHAnsi" w:cstheme="minorHAnsi"/>
          <w:sz w:val="32"/>
          <w:szCs w:val="32"/>
        </w:rPr>
        <w:t>/UNC Public Policy</w:t>
      </w:r>
      <w:r w:rsidR="00E64435" w:rsidRPr="002A460C">
        <w:rPr>
          <w:rFonts w:asciiTheme="minorHAnsi" w:hAnsiTheme="minorHAnsi" w:cstheme="minorHAnsi"/>
          <w:sz w:val="32"/>
          <w:szCs w:val="32"/>
        </w:rPr>
        <w:t>:  Kevin C. Bastian</w:t>
      </w:r>
    </w:p>
    <w:p w14:paraId="19879BF4" w14:textId="4A1155F9" w:rsidR="00301A22" w:rsidRPr="002A460C" w:rsidRDefault="00301A22" w:rsidP="00301A22">
      <w:pPr>
        <w:rPr>
          <w:rFonts w:cstheme="minorHAnsi"/>
          <w:sz w:val="32"/>
          <w:szCs w:val="32"/>
        </w:rPr>
      </w:pPr>
      <w:r w:rsidRPr="002A460C">
        <w:rPr>
          <w:rFonts w:cstheme="minorHAnsi"/>
          <w:sz w:val="32"/>
          <w:szCs w:val="32"/>
        </w:rPr>
        <w:t>Public Impact</w:t>
      </w:r>
      <w:r w:rsidR="00E64435" w:rsidRPr="002A460C">
        <w:rPr>
          <w:rFonts w:cstheme="minorHAnsi"/>
          <w:sz w:val="32"/>
          <w:szCs w:val="32"/>
        </w:rPr>
        <w:t xml:space="preserve">:  </w:t>
      </w:r>
      <w:proofErr w:type="spellStart"/>
      <w:r w:rsidR="00E64435" w:rsidRPr="002A460C">
        <w:rPr>
          <w:rFonts w:cstheme="minorHAnsi"/>
          <w:sz w:val="32"/>
          <w:szCs w:val="32"/>
        </w:rPr>
        <w:t>Juli</w:t>
      </w:r>
      <w:proofErr w:type="spellEnd"/>
      <w:r w:rsidR="00E64435" w:rsidRPr="002A460C">
        <w:rPr>
          <w:rFonts w:cstheme="minorHAnsi"/>
          <w:sz w:val="32"/>
          <w:szCs w:val="32"/>
        </w:rPr>
        <w:t xml:space="preserve"> Kim</w:t>
      </w:r>
      <w:r w:rsidR="000E4AD3">
        <w:rPr>
          <w:rFonts w:cstheme="minorHAnsi"/>
          <w:sz w:val="32"/>
          <w:szCs w:val="32"/>
        </w:rPr>
        <w:t xml:space="preserve">, </w:t>
      </w:r>
      <w:r w:rsidR="00037841">
        <w:rPr>
          <w:rFonts w:cstheme="minorHAnsi"/>
          <w:sz w:val="32"/>
          <w:szCs w:val="32"/>
        </w:rPr>
        <w:t>Whitaker Brown</w:t>
      </w:r>
      <w:r w:rsidR="000E4AD3">
        <w:rPr>
          <w:rFonts w:cstheme="minorHAnsi"/>
          <w:sz w:val="32"/>
          <w:szCs w:val="32"/>
        </w:rPr>
        <w:t>, and David Gilmore</w:t>
      </w:r>
    </w:p>
    <w:p w14:paraId="25ECAAEC" w14:textId="754A85F1" w:rsidR="00301A22" w:rsidRPr="00301A22" w:rsidRDefault="00301A22" w:rsidP="00301A22"/>
    <w:p w14:paraId="667B8DB1" w14:textId="77777777" w:rsidR="00C444D2" w:rsidRDefault="00C444D2" w:rsidP="00856B1A">
      <w:pPr>
        <w:pStyle w:val="Title"/>
        <w:rPr>
          <w:rFonts w:asciiTheme="minorHAnsi" w:hAnsiTheme="minorHAnsi" w:cstheme="minorHAnsi"/>
          <w:b/>
          <w:sz w:val="28"/>
          <w:szCs w:val="24"/>
        </w:rPr>
      </w:pPr>
    </w:p>
    <w:p w14:paraId="1B337CF3" w14:textId="77777777" w:rsidR="00C444D2" w:rsidRDefault="00C444D2" w:rsidP="00856B1A">
      <w:pPr>
        <w:pStyle w:val="Title"/>
        <w:rPr>
          <w:rFonts w:asciiTheme="minorHAnsi" w:hAnsiTheme="minorHAnsi" w:cstheme="minorHAnsi"/>
          <w:b/>
          <w:sz w:val="28"/>
          <w:szCs w:val="24"/>
        </w:rPr>
      </w:pPr>
    </w:p>
    <w:p w14:paraId="0F3D8595" w14:textId="77777777" w:rsidR="005A6C24" w:rsidRDefault="005A6C24" w:rsidP="005A6C24"/>
    <w:p w14:paraId="27C9287A" w14:textId="77777777" w:rsidR="00C444D2" w:rsidRDefault="00C444D2" w:rsidP="00856B1A">
      <w:pPr>
        <w:pStyle w:val="Title"/>
        <w:rPr>
          <w:rFonts w:asciiTheme="minorHAnsi" w:hAnsiTheme="minorHAnsi" w:cstheme="minorHAnsi"/>
          <w:b/>
          <w:sz w:val="28"/>
          <w:szCs w:val="24"/>
        </w:rPr>
      </w:pPr>
    </w:p>
    <w:p w14:paraId="6B229F38" w14:textId="6DF51AA8" w:rsidR="00C444D2" w:rsidRDefault="00C12205" w:rsidP="00856B1A">
      <w:pPr>
        <w:pStyle w:val="Title"/>
        <w:rPr>
          <w:rFonts w:asciiTheme="minorHAnsi" w:hAnsiTheme="minorHAnsi" w:cstheme="minorHAnsi"/>
          <w:b/>
          <w:sz w:val="28"/>
          <w:szCs w:val="24"/>
        </w:rPr>
      </w:pPr>
      <w:r>
        <w:rPr>
          <w:rFonts w:asciiTheme="minorHAnsi" w:hAnsiTheme="minorHAnsi" w:cstheme="minorHAnsi"/>
          <w:b/>
          <w:sz w:val="28"/>
          <w:szCs w:val="24"/>
        </w:rPr>
        <w:t xml:space="preserve">       </w:t>
      </w:r>
      <w:r w:rsidR="005A6C24" w:rsidRPr="005A6C24">
        <w:rPr>
          <w:rFonts w:asciiTheme="minorHAnsi" w:hAnsiTheme="minorHAnsi" w:cstheme="minorHAnsi"/>
          <w:b/>
          <w:noProof/>
          <w:sz w:val="28"/>
          <w:szCs w:val="24"/>
        </w:rPr>
        <w:drawing>
          <wp:inline distT="0" distB="0" distL="0" distR="0" wp14:anchorId="06136405" wp14:editId="435A4127">
            <wp:extent cx="1398888" cy="1097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8888" cy="1097280"/>
                    </a:xfrm>
                    <a:prstGeom prst="rect">
                      <a:avLst/>
                    </a:prstGeom>
                    <a:noFill/>
                    <a:ln>
                      <a:noFill/>
                    </a:ln>
                  </pic:spPr>
                </pic:pic>
              </a:graphicData>
            </a:graphic>
          </wp:inline>
        </w:drawing>
      </w:r>
      <w:r>
        <w:rPr>
          <w:rFonts w:asciiTheme="minorHAnsi" w:hAnsiTheme="minorHAnsi" w:cstheme="minorHAnsi"/>
          <w:b/>
          <w:sz w:val="28"/>
          <w:szCs w:val="24"/>
        </w:rPr>
        <w:t xml:space="preserve">                                                                  </w:t>
      </w:r>
      <w:r>
        <w:rPr>
          <w:noProof/>
        </w:rPr>
        <w:drawing>
          <wp:inline distT="0" distB="0" distL="0" distR="0" wp14:anchorId="7894CDF9" wp14:editId="02985414">
            <wp:extent cx="2044856" cy="6400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 color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4856" cy="640080"/>
                    </a:xfrm>
                    <a:prstGeom prst="rect">
                      <a:avLst/>
                    </a:prstGeom>
                  </pic:spPr>
                </pic:pic>
              </a:graphicData>
            </a:graphic>
          </wp:inline>
        </w:drawing>
      </w:r>
    </w:p>
    <w:p w14:paraId="2A430B73" w14:textId="77777777" w:rsidR="00C444D2" w:rsidRDefault="00C444D2" w:rsidP="00856B1A">
      <w:pPr>
        <w:pStyle w:val="Title"/>
        <w:rPr>
          <w:rFonts w:asciiTheme="minorHAnsi" w:hAnsiTheme="minorHAnsi" w:cstheme="minorHAnsi"/>
          <w:b/>
          <w:sz w:val="28"/>
          <w:szCs w:val="24"/>
        </w:rPr>
      </w:pPr>
    </w:p>
    <w:p w14:paraId="691B0807" w14:textId="77777777" w:rsidR="00C444D2" w:rsidRDefault="00C444D2" w:rsidP="00856B1A">
      <w:pPr>
        <w:pStyle w:val="Title"/>
        <w:rPr>
          <w:rFonts w:asciiTheme="minorHAnsi" w:hAnsiTheme="minorHAnsi" w:cstheme="minorHAnsi"/>
          <w:b/>
          <w:sz w:val="28"/>
          <w:szCs w:val="24"/>
        </w:rPr>
      </w:pPr>
    </w:p>
    <w:p w14:paraId="4D0FD8CC" w14:textId="77777777" w:rsidR="00C444D2" w:rsidRDefault="00C444D2" w:rsidP="00856B1A">
      <w:pPr>
        <w:pStyle w:val="Title"/>
        <w:rPr>
          <w:rFonts w:asciiTheme="minorHAnsi" w:hAnsiTheme="minorHAnsi" w:cstheme="minorHAnsi"/>
          <w:b/>
          <w:sz w:val="28"/>
          <w:szCs w:val="24"/>
        </w:rPr>
      </w:pPr>
    </w:p>
    <w:p w14:paraId="47F5709F" w14:textId="77777777" w:rsidR="00C444D2" w:rsidRDefault="00C444D2" w:rsidP="00856B1A">
      <w:pPr>
        <w:pStyle w:val="Title"/>
        <w:rPr>
          <w:rFonts w:asciiTheme="minorHAnsi" w:hAnsiTheme="minorHAnsi" w:cstheme="minorHAnsi"/>
          <w:b/>
          <w:sz w:val="28"/>
          <w:szCs w:val="24"/>
        </w:rPr>
      </w:pPr>
    </w:p>
    <w:p w14:paraId="76B5FBE7" w14:textId="77777777" w:rsidR="001F0A19" w:rsidRDefault="001F0A19" w:rsidP="00856B1A">
      <w:pPr>
        <w:pStyle w:val="Title"/>
        <w:rPr>
          <w:rFonts w:asciiTheme="minorHAnsi" w:hAnsiTheme="minorHAnsi" w:cstheme="minorHAnsi"/>
          <w:b/>
          <w:sz w:val="28"/>
          <w:szCs w:val="24"/>
        </w:rPr>
        <w:sectPr w:rsidR="001F0A19" w:rsidSect="00016961">
          <w:footerReference w:type="default" r:id="rId13"/>
          <w:pgSz w:w="12240" w:h="15840"/>
          <w:pgMar w:top="1440" w:right="1440" w:bottom="1440" w:left="1440" w:header="720" w:footer="720" w:gutter="0"/>
          <w:cols w:space="720"/>
          <w:docGrid w:linePitch="360"/>
        </w:sectPr>
      </w:pPr>
    </w:p>
    <w:p w14:paraId="4A53AB63" w14:textId="785FCD37" w:rsidR="00856B1A" w:rsidRPr="009A2964" w:rsidRDefault="00856B1A" w:rsidP="00C80C61">
      <w:pPr>
        <w:pStyle w:val="Heading1"/>
        <w:spacing w:before="0" w:after="0" w:line="240" w:lineRule="auto"/>
        <w:rPr>
          <w:rFonts w:asciiTheme="minorHAnsi" w:hAnsiTheme="minorHAnsi" w:cstheme="minorHAnsi"/>
          <w:color w:val="auto"/>
          <w:szCs w:val="22"/>
        </w:rPr>
      </w:pPr>
      <w:bookmarkStart w:id="0" w:name="_Toc521786821"/>
      <w:bookmarkStart w:id="1" w:name="_Hlk8728836"/>
      <w:r w:rsidRPr="009A2964">
        <w:rPr>
          <w:rFonts w:asciiTheme="minorHAnsi" w:hAnsiTheme="minorHAnsi" w:cstheme="minorHAnsi"/>
          <w:color w:val="auto"/>
          <w:szCs w:val="22"/>
        </w:rPr>
        <w:lastRenderedPageBreak/>
        <w:t>Introduction</w:t>
      </w:r>
      <w:bookmarkEnd w:id="0"/>
    </w:p>
    <w:p w14:paraId="1D53F2ED" w14:textId="77777777" w:rsidR="00C80C61" w:rsidRPr="00853C67" w:rsidRDefault="00C80C61" w:rsidP="00FB3A29">
      <w:pPr>
        <w:spacing w:after="0" w:line="240" w:lineRule="auto"/>
        <w:jc w:val="both"/>
        <w:rPr>
          <w:rFonts w:cstheme="minorHAnsi"/>
        </w:rPr>
      </w:pPr>
    </w:p>
    <w:p w14:paraId="112CFC31" w14:textId="19EDBD67" w:rsidR="008D1DF1" w:rsidRDefault="00785E75" w:rsidP="00FB3A29">
      <w:pPr>
        <w:spacing w:after="0" w:line="240" w:lineRule="auto"/>
        <w:jc w:val="both"/>
        <w:rPr>
          <w:rFonts w:cstheme="minorHAnsi"/>
        </w:rPr>
      </w:pPr>
      <w:r w:rsidRPr="00853C67">
        <w:rPr>
          <w:rFonts w:cstheme="minorHAnsi"/>
        </w:rPr>
        <w:t>In 2016, the North Carolina General Assembly</w:t>
      </w:r>
      <w:r w:rsidR="00721147" w:rsidRPr="00853C67">
        <w:rPr>
          <w:rFonts w:cstheme="minorHAnsi"/>
        </w:rPr>
        <w:t xml:space="preserve"> (NCGA)</w:t>
      </w:r>
      <w:r w:rsidRPr="00853C67">
        <w:rPr>
          <w:rFonts w:cstheme="minorHAnsi"/>
        </w:rPr>
        <w:t xml:space="preserve"> passed legislation requiring the </w:t>
      </w:r>
      <w:r w:rsidR="008564FA" w:rsidRPr="00853C67">
        <w:rPr>
          <w:rFonts w:cstheme="minorHAnsi"/>
        </w:rPr>
        <w:t>Board of Governors</w:t>
      </w:r>
      <w:r w:rsidR="004A7417" w:rsidRPr="00853C67">
        <w:rPr>
          <w:rFonts w:cstheme="minorHAnsi"/>
        </w:rPr>
        <w:t xml:space="preserve"> (BOG)</w:t>
      </w:r>
      <w:r w:rsidR="008564FA" w:rsidRPr="00853C67">
        <w:rPr>
          <w:rFonts w:cstheme="minorHAnsi"/>
        </w:rPr>
        <w:t xml:space="preserve"> of the University of North Carolina (UNC) System</w:t>
      </w:r>
      <w:r w:rsidR="00C126A3" w:rsidRPr="00853C67">
        <w:rPr>
          <w:rFonts w:cstheme="minorHAnsi"/>
        </w:rPr>
        <w:t>, in consultation with UNC</w:t>
      </w:r>
      <w:r w:rsidR="003136F2" w:rsidRPr="00853C67">
        <w:rPr>
          <w:rFonts w:cstheme="minorHAnsi"/>
        </w:rPr>
        <w:t xml:space="preserve"> System</w:t>
      </w:r>
      <w:r w:rsidR="00C126A3" w:rsidRPr="00853C67">
        <w:rPr>
          <w:rFonts w:cstheme="minorHAnsi"/>
        </w:rPr>
        <w:t xml:space="preserve"> institution Colleges of Education (COE</w:t>
      </w:r>
      <w:r w:rsidR="00D46848">
        <w:rPr>
          <w:rFonts w:cstheme="minorHAnsi"/>
        </w:rPr>
        <w:t>s</w:t>
      </w:r>
      <w:r w:rsidR="00C126A3" w:rsidRPr="00853C67">
        <w:rPr>
          <w:rFonts w:cstheme="minorHAnsi"/>
        </w:rPr>
        <w:t xml:space="preserve">), </w:t>
      </w:r>
      <w:r w:rsidR="008564FA" w:rsidRPr="00853C67">
        <w:rPr>
          <w:rFonts w:cstheme="minorHAnsi"/>
        </w:rPr>
        <w:t>to establish laboratory schools.</w:t>
      </w:r>
      <w:r w:rsidR="001D2D08" w:rsidRPr="00853C67">
        <w:rPr>
          <w:rStyle w:val="FootnoteReference"/>
          <w:rFonts w:cstheme="minorHAnsi"/>
        </w:rPr>
        <w:footnoteReference w:id="2"/>
      </w:r>
      <w:r w:rsidR="00FB3A29" w:rsidRPr="00853C67">
        <w:rPr>
          <w:rFonts w:cstheme="minorHAnsi"/>
        </w:rPr>
        <w:t xml:space="preserve"> </w:t>
      </w:r>
      <w:r w:rsidR="008D1DF1">
        <w:rPr>
          <w:rFonts w:cstheme="minorHAnsi"/>
        </w:rPr>
        <w:t>Laboratory schools are K-12</w:t>
      </w:r>
      <w:r w:rsidR="00AA440D" w:rsidRPr="00853C67">
        <w:rPr>
          <w:rFonts w:cstheme="minorHAnsi"/>
        </w:rPr>
        <w:t xml:space="preserve"> schools </w:t>
      </w:r>
      <w:r w:rsidR="008D1DF1">
        <w:rPr>
          <w:rFonts w:cstheme="minorHAnsi"/>
        </w:rPr>
        <w:t xml:space="preserve">operated by a UNC System institution rather than by a local school district. </w:t>
      </w:r>
      <w:r w:rsidR="008D1DF1" w:rsidRPr="00C07B3E">
        <w:rPr>
          <w:rFonts w:cstheme="minorHAnsi"/>
        </w:rPr>
        <w:t xml:space="preserve">The mission of UNC System laboratory schools is </w:t>
      </w:r>
      <w:r w:rsidR="008D1DF1">
        <w:rPr>
          <w:rFonts w:cstheme="minorHAnsi"/>
        </w:rPr>
        <w:t>to improve student performance in local school administrative units with low-performing schools by providing an enhanced education program for students residing in those units and to provide exposure and training for teachers and principals to successfully address challenges existing in high-needs school settings.</w:t>
      </w:r>
      <w:r w:rsidR="002C0C83">
        <w:rPr>
          <w:rStyle w:val="FootnoteReference"/>
          <w:rFonts w:cstheme="minorHAnsi"/>
        </w:rPr>
        <w:footnoteReference w:id="3"/>
      </w:r>
      <w:r w:rsidR="008D1DF1">
        <w:rPr>
          <w:rFonts w:cstheme="minorHAnsi"/>
        </w:rPr>
        <w:t xml:space="preserve"> </w:t>
      </w:r>
      <w:r w:rsidR="001D2D08" w:rsidRPr="00853C67">
        <w:rPr>
          <w:rFonts w:cstheme="minorHAnsi"/>
        </w:rPr>
        <w:t xml:space="preserve">Collectively, laboratory schools are committed to delivering high expectations to prepare students for college and life; ensuring </w:t>
      </w:r>
      <w:r w:rsidR="00BA22E5">
        <w:rPr>
          <w:rFonts w:cstheme="minorHAnsi"/>
        </w:rPr>
        <w:t xml:space="preserve">that </w:t>
      </w:r>
      <w:r w:rsidR="001D2D08" w:rsidRPr="00853C67">
        <w:rPr>
          <w:rFonts w:cstheme="minorHAnsi"/>
        </w:rPr>
        <w:t>students learn to read and communicate effectively; addressing the academic, social, and emotional needs of all students; and harnessing the benefits of partnerships to strengthen learning, teaching and school leadership.</w:t>
      </w:r>
      <w:r w:rsidR="001D2D08" w:rsidRPr="00853C67">
        <w:rPr>
          <w:rStyle w:val="FootnoteReference"/>
          <w:rFonts w:cstheme="minorHAnsi"/>
        </w:rPr>
        <w:footnoteReference w:id="4"/>
      </w:r>
      <w:r w:rsidR="007432B6" w:rsidRPr="00853C67">
        <w:rPr>
          <w:rFonts w:cstheme="minorHAnsi"/>
        </w:rPr>
        <w:t xml:space="preserve"> </w:t>
      </w:r>
      <w:r w:rsidR="008D1DF1">
        <w:rPr>
          <w:rFonts w:cstheme="minorHAnsi"/>
        </w:rPr>
        <w:t>Laboratory schools serve every part of the University mission—teaching, research, and public service—and represent an innovative extension of the UNC System’s presence in K-12 education.</w:t>
      </w:r>
    </w:p>
    <w:p w14:paraId="079A23F4" w14:textId="77777777" w:rsidR="008D1DF1" w:rsidRDefault="008D1DF1" w:rsidP="00FB3A29">
      <w:pPr>
        <w:spacing w:after="0" w:line="240" w:lineRule="auto"/>
        <w:jc w:val="both"/>
        <w:rPr>
          <w:rFonts w:cstheme="minorHAnsi"/>
        </w:rPr>
      </w:pPr>
    </w:p>
    <w:p w14:paraId="3641A12F" w14:textId="2894FC7C" w:rsidR="009363F3" w:rsidRPr="00853C67" w:rsidRDefault="0025114B" w:rsidP="00FB3A29">
      <w:pPr>
        <w:spacing w:after="0" w:line="240" w:lineRule="auto"/>
        <w:jc w:val="both"/>
        <w:rPr>
          <w:rFonts w:cstheme="minorHAnsi"/>
        </w:rPr>
      </w:pPr>
      <w:r>
        <w:rPr>
          <w:rFonts w:cstheme="minorHAnsi"/>
        </w:rPr>
        <w:t xml:space="preserve">In 2019-20, five UNC System institutions operated laboratory schools. </w:t>
      </w:r>
      <w:r w:rsidR="003F20AA" w:rsidRPr="008802BC">
        <w:rPr>
          <w:rFonts w:cstheme="minorHAnsi"/>
        </w:rPr>
        <w:t>East Carolina University (ECU) and Western Carolina University (WCU) opened their laboratory schools</w:t>
      </w:r>
      <w:r w:rsidR="003F20AA" w:rsidRPr="00853C67">
        <w:rPr>
          <w:rFonts w:cstheme="minorHAnsi"/>
        </w:rPr>
        <w:t xml:space="preserve"> in the 2017-18 school year</w:t>
      </w:r>
      <w:r w:rsidR="00594C6B" w:rsidRPr="00853C67">
        <w:rPr>
          <w:rFonts w:cstheme="minorHAnsi"/>
        </w:rPr>
        <w:t xml:space="preserve"> while Ap</w:t>
      </w:r>
      <w:r w:rsidR="002C666C">
        <w:rPr>
          <w:rFonts w:cstheme="minorHAnsi"/>
        </w:rPr>
        <w:t>palachian State University</w:t>
      </w:r>
      <w:r w:rsidR="00594C6B" w:rsidRPr="00853C67">
        <w:rPr>
          <w:rFonts w:cstheme="minorHAnsi"/>
        </w:rPr>
        <w:t>,</w:t>
      </w:r>
      <w:r w:rsidR="002C666C">
        <w:rPr>
          <w:rFonts w:cstheme="minorHAnsi"/>
        </w:rPr>
        <w:t xml:space="preserve"> the University of North Carolina at Greensboro (UNCG), and the University of North Carolina at Wilmington (UNCW) </w:t>
      </w:r>
      <w:r w:rsidR="00594C6B" w:rsidRPr="00853C67">
        <w:rPr>
          <w:rFonts w:cstheme="minorHAnsi"/>
        </w:rPr>
        <w:t xml:space="preserve">opened their laboratory schools in the 2018-19 school year. </w:t>
      </w:r>
      <w:r w:rsidR="00237F58">
        <w:rPr>
          <w:rFonts w:cstheme="minorHAnsi"/>
        </w:rPr>
        <w:t>The University of North Carolina at Charlotte (UNCC) opened its laboratory school in the 2020-21 school year.</w:t>
      </w:r>
      <w:r w:rsidR="003F41D8">
        <w:rPr>
          <w:rFonts w:cstheme="minorHAnsi"/>
        </w:rPr>
        <w:t xml:space="preserve"> The laboratory school enabling legislation requires the establishment of at least three additional laboratory schools by the beginning of the 2022-23 school year.</w:t>
      </w:r>
      <w:r w:rsidR="003F41D8">
        <w:rPr>
          <w:rStyle w:val="FootnoteReference"/>
          <w:rFonts w:cstheme="minorHAnsi"/>
        </w:rPr>
        <w:footnoteReference w:id="5"/>
      </w:r>
    </w:p>
    <w:p w14:paraId="110AE6AB" w14:textId="77777777" w:rsidR="009363F3" w:rsidRPr="00853C67" w:rsidRDefault="009363F3" w:rsidP="00FB3A29">
      <w:pPr>
        <w:spacing w:after="0" w:line="240" w:lineRule="auto"/>
        <w:jc w:val="both"/>
        <w:rPr>
          <w:rFonts w:cstheme="minorHAnsi"/>
        </w:rPr>
      </w:pPr>
    </w:p>
    <w:p w14:paraId="083DFF9A" w14:textId="355F423F" w:rsidR="003F7770" w:rsidRPr="00853C67" w:rsidRDefault="008415FA" w:rsidP="00401DDB">
      <w:pPr>
        <w:spacing w:after="0" w:line="240" w:lineRule="auto"/>
        <w:jc w:val="both"/>
        <w:rPr>
          <w:rFonts w:cstheme="minorHAnsi"/>
        </w:rPr>
      </w:pPr>
      <w:r w:rsidRPr="00853C67">
        <w:rPr>
          <w:rFonts w:cstheme="minorHAnsi"/>
        </w:rPr>
        <w:t xml:space="preserve">UNC System laboratory schools must serve students in at least three contiguous grades in the K-8 grade range. </w:t>
      </w:r>
      <w:r w:rsidR="002C666C">
        <w:rPr>
          <w:rFonts w:cstheme="minorHAnsi"/>
        </w:rPr>
        <w:t xml:space="preserve">The enabling legislation originally required the UNC System to establish laboratory schools in local school administrative units in which at least 25 percent of the schools were low-performing. </w:t>
      </w:r>
      <w:r w:rsidR="00337A20">
        <w:rPr>
          <w:rFonts w:cstheme="minorHAnsi"/>
        </w:rPr>
        <w:t xml:space="preserve">However, </w:t>
      </w:r>
      <w:r w:rsidR="002C666C">
        <w:rPr>
          <w:rFonts w:cstheme="minorHAnsi"/>
        </w:rPr>
        <w:t xml:space="preserve">the enabling legislation allows the UNC System to exercise </w:t>
      </w:r>
      <w:r w:rsidR="00337A20">
        <w:rPr>
          <w:rFonts w:cstheme="minorHAnsi"/>
        </w:rPr>
        <w:t>six</w:t>
      </w:r>
      <w:r w:rsidR="002C666C">
        <w:rPr>
          <w:rFonts w:cstheme="minorHAnsi"/>
        </w:rPr>
        <w:t xml:space="preserve"> waivers to establish laboratory schools in districts that do not meet this requirement.</w:t>
      </w:r>
      <w:r w:rsidR="005A7D09">
        <w:rPr>
          <w:rStyle w:val="FootnoteReference"/>
          <w:rFonts w:cstheme="minorHAnsi"/>
        </w:rPr>
        <w:footnoteReference w:id="6"/>
      </w:r>
      <w:r w:rsidR="002C666C">
        <w:rPr>
          <w:rFonts w:cstheme="minorHAnsi"/>
        </w:rPr>
        <w:t xml:space="preserve"> Students are eligible to attend a laboratory school if they reside in the local school administrative unit in which the laboratory school is located and previously attended a low-performing school</w:t>
      </w:r>
      <w:r w:rsidR="00A66079">
        <w:rPr>
          <w:rFonts w:cstheme="minorHAnsi"/>
        </w:rPr>
        <w:t xml:space="preserve">; </w:t>
      </w:r>
      <w:r w:rsidR="002C666C">
        <w:rPr>
          <w:rFonts w:cstheme="minorHAnsi"/>
        </w:rPr>
        <w:t>failed to meet expected growth in the previous academic year (based on one or more indicators)</w:t>
      </w:r>
      <w:r w:rsidR="00A66079">
        <w:rPr>
          <w:rFonts w:cstheme="minorHAnsi"/>
        </w:rPr>
        <w:t>; is the s</w:t>
      </w:r>
      <w:r w:rsidR="00337A20">
        <w:rPr>
          <w:rFonts w:cstheme="minorHAnsi"/>
        </w:rPr>
        <w:t xml:space="preserve">ibling of </w:t>
      </w:r>
      <w:r w:rsidR="00A66079">
        <w:rPr>
          <w:rFonts w:cstheme="minorHAnsi"/>
        </w:rPr>
        <w:t>a child</w:t>
      </w:r>
      <w:r w:rsidR="00337A20">
        <w:rPr>
          <w:rFonts w:cstheme="minorHAnsi"/>
        </w:rPr>
        <w:t xml:space="preserve"> meeting these requirements</w:t>
      </w:r>
      <w:r w:rsidR="00A66079">
        <w:rPr>
          <w:rFonts w:cstheme="minorHAnsi"/>
        </w:rPr>
        <w:t>; or are</w:t>
      </w:r>
      <w:r w:rsidR="00337A20">
        <w:rPr>
          <w:rFonts w:cstheme="minorHAnsi"/>
        </w:rPr>
        <w:t xml:space="preserve"> children of laboratory school employees</w:t>
      </w:r>
      <w:r w:rsidR="00A66079">
        <w:rPr>
          <w:rFonts w:cstheme="minorHAnsi"/>
        </w:rPr>
        <w:t>.</w:t>
      </w:r>
      <w:r w:rsidR="00A66079">
        <w:rPr>
          <w:rStyle w:val="FootnoteReference"/>
          <w:rFonts w:cstheme="minorHAnsi"/>
        </w:rPr>
        <w:footnoteReference w:id="7"/>
      </w:r>
      <w:r w:rsidR="00A66079">
        <w:rPr>
          <w:rFonts w:cstheme="minorHAnsi"/>
        </w:rPr>
        <w:t xml:space="preserve"> </w:t>
      </w:r>
      <w:r w:rsidR="00337A20">
        <w:rPr>
          <w:rFonts w:cstheme="minorHAnsi"/>
        </w:rPr>
        <w:t xml:space="preserve"> </w:t>
      </w:r>
      <w:r w:rsidR="0040142A">
        <w:rPr>
          <w:rFonts w:cstheme="minorHAnsi"/>
        </w:rPr>
        <w:t xml:space="preserve">Beginning in the 2020-21 school year, any student residing in the district where the laboratory school is located may also enroll at a laboratory school if it is not fully enrolled by </w:t>
      </w:r>
      <w:r w:rsidR="0040142A">
        <w:rPr>
          <w:rFonts w:cstheme="minorHAnsi"/>
        </w:rPr>
        <w:lastRenderedPageBreak/>
        <w:t>March 1 before the start of the next school year.</w:t>
      </w:r>
      <w:r w:rsidR="0040142A">
        <w:rPr>
          <w:rStyle w:val="FootnoteReference"/>
          <w:rFonts w:cstheme="minorHAnsi"/>
        </w:rPr>
        <w:footnoteReference w:id="8"/>
      </w:r>
      <w:r w:rsidR="0040142A">
        <w:rPr>
          <w:rFonts w:cstheme="minorHAnsi"/>
        </w:rPr>
        <w:t xml:space="preserve"> </w:t>
      </w:r>
      <w:r w:rsidR="001511FD">
        <w:rPr>
          <w:rFonts w:cstheme="minorHAnsi"/>
        </w:rPr>
        <w:t>L</w:t>
      </w:r>
      <w:r w:rsidR="00E674AD" w:rsidRPr="00853C67">
        <w:rPr>
          <w:rFonts w:cstheme="minorHAnsi"/>
        </w:rPr>
        <w:t>aboratory schools present opportunities to benefit low-performing students</w:t>
      </w:r>
      <w:r w:rsidR="000641C6" w:rsidRPr="00853C67">
        <w:rPr>
          <w:rFonts w:cstheme="minorHAnsi"/>
        </w:rPr>
        <w:t>,</w:t>
      </w:r>
      <w:r w:rsidR="00E674AD" w:rsidRPr="00853C67">
        <w:rPr>
          <w:rFonts w:cstheme="minorHAnsi"/>
        </w:rPr>
        <w:t xml:space="preserve"> to implement new and research-based instructional strategies</w:t>
      </w:r>
      <w:r w:rsidR="000641C6" w:rsidRPr="00853C67">
        <w:rPr>
          <w:rFonts w:cstheme="minorHAnsi"/>
        </w:rPr>
        <w:t>,</w:t>
      </w:r>
      <w:r w:rsidR="00E674AD" w:rsidRPr="00853C67">
        <w:rPr>
          <w:rFonts w:cstheme="minorHAnsi"/>
        </w:rPr>
        <w:t xml:space="preserve"> </w:t>
      </w:r>
      <w:r w:rsidR="009D1974" w:rsidRPr="00853C67">
        <w:rPr>
          <w:rFonts w:cstheme="minorHAnsi"/>
        </w:rPr>
        <w:t xml:space="preserve">to enhance the preparation experiences of pre-service </w:t>
      </w:r>
      <w:r w:rsidR="003136F2" w:rsidRPr="00853C67">
        <w:rPr>
          <w:rFonts w:cstheme="minorHAnsi"/>
        </w:rPr>
        <w:t>educators</w:t>
      </w:r>
      <w:r w:rsidR="000641C6" w:rsidRPr="00853C67">
        <w:rPr>
          <w:rFonts w:cstheme="minorHAnsi"/>
        </w:rPr>
        <w:t>,</w:t>
      </w:r>
      <w:r w:rsidR="009D1974" w:rsidRPr="00853C67">
        <w:rPr>
          <w:rFonts w:cstheme="minorHAnsi"/>
        </w:rPr>
        <w:t xml:space="preserve"> </w:t>
      </w:r>
      <w:r w:rsidR="00E674AD" w:rsidRPr="00853C67">
        <w:rPr>
          <w:rFonts w:cstheme="minorHAnsi"/>
        </w:rPr>
        <w:t>and to integrate the contributions of the university and community into the philosophy and practices of the school.</w:t>
      </w:r>
      <w:r w:rsidR="00594C6B" w:rsidRPr="00853C67">
        <w:rPr>
          <w:rFonts w:cstheme="minorHAnsi"/>
        </w:rPr>
        <w:t xml:space="preserve"> </w:t>
      </w:r>
    </w:p>
    <w:p w14:paraId="16B53E0E" w14:textId="77777777" w:rsidR="002C666C" w:rsidRDefault="002C666C" w:rsidP="00110B28">
      <w:pPr>
        <w:spacing w:after="0" w:line="240" w:lineRule="auto"/>
        <w:jc w:val="both"/>
        <w:rPr>
          <w:rFonts w:cstheme="minorHAnsi"/>
        </w:rPr>
      </w:pPr>
    </w:p>
    <w:p w14:paraId="64DA72C8" w14:textId="7733501D" w:rsidR="00A4522B" w:rsidRDefault="00312D34" w:rsidP="00110B28">
      <w:pPr>
        <w:spacing w:after="0" w:line="240" w:lineRule="auto"/>
        <w:jc w:val="both"/>
        <w:rPr>
          <w:rFonts w:cstheme="minorHAnsi"/>
        </w:rPr>
      </w:pPr>
      <w:r>
        <w:rPr>
          <w:rFonts w:cstheme="minorHAnsi"/>
        </w:rPr>
        <w:t xml:space="preserve">In 2018, the UNC System commissioned </w:t>
      </w:r>
      <w:r w:rsidR="007B3A92" w:rsidRPr="00853C67">
        <w:rPr>
          <w:rFonts w:cstheme="minorHAnsi"/>
        </w:rPr>
        <w:t xml:space="preserve">the Education Policy Initiative at Carolina (EPIC)/Public Policy at UNC Chapel Hill and Public Impact (hereon referred to as the Evaluation Team) </w:t>
      </w:r>
      <w:r>
        <w:rPr>
          <w:rFonts w:cstheme="minorHAnsi"/>
        </w:rPr>
        <w:t xml:space="preserve">to conduct a five-year evaluation of </w:t>
      </w:r>
      <w:r w:rsidR="007B3A92" w:rsidRPr="00853C67">
        <w:rPr>
          <w:rFonts w:cstheme="minorHAnsi"/>
        </w:rPr>
        <w:t xml:space="preserve">the laboratory </w:t>
      </w:r>
      <w:proofErr w:type="gramStart"/>
      <w:r w:rsidR="007B3A92" w:rsidRPr="00853C67">
        <w:rPr>
          <w:rFonts w:cstheme="minorHAnsi"/>
        </w:rPr>
        <w:t>school</w:t>
      </w:r>
      <w:r w:rsidR="003D2FB7">
        <w:rPr>
          <w:rFonts w:cstheme="minorHAnsi"/>
        </w:rPr>
        <w:t>s</w:t>
      </w:r>
      <w:proofErr w:type="gramEnd"/>
      <w:r w:rsidR="007B3A92" w:rsidRPr="00853C67">
        <w:rPr>
          <w:rFonts w:cstheme="minorHAnsi"/>
        </w:rPr>
        <w:t xml:space="preserve"> </w:t>
      </w:r>
      <w:r>
        <w:rPr>
          <w:rFonts w:cstheme="minorHAnsi"/>
        </w:rPr>
        <w:t xml:space="preserve">initiative. </w:t>
      </w:r>
      <w:r w:rsidR="0003378A">
        <w:rPr>
          <w:rFonts w:cstheme="minorHAnsi"/>
        </w:rPr>
        <w:t xml:space="preserve">The intent of the evaluation is </w:t>
      </w:r>
      <w:r w:rsidR="0003378A" w:rsidRPr="00853C67">
        <w:rPr>
          <w:rFonts w:cstheme="minorHAnsi"/>
        </w:rPr>
        <w:t>to assess whether laboratory schools benefit students and pre-service educators and to understand why laboratory schools succeed or fall short of expectations</w:t>
      </w:r>
      <w:r w:rsidR="0003378A">
        <w:rPr>
          <w:rFonts w:cstheme="minorHAnsi"/>
        </w:rPr>
        <w:t xml:space="preserve">. </w:t>
      </w:r>
      <w:r w:rsidR="00C56948">
        <w:rPr>
          <w:rFonts w:cstheme="minorHAnsi"/>
        </w:rPr>
        <w:t xml:space="preserve">To fulfill these objectives the Evaluation Team </w:t>
      </w:r>
      <w:r w:rsidR="00A4522B">
        <w:rPr>
          <w:rFonts w:cstheme="minorHAnsi"/>
        </w:rPr>
        <w:t xml:space="preserve">submitted reports in </w:t>
      </w:r>
      <w:r>
        <w:rPr>
          <w:rFonts w:cstheme="minorHAnsi"/>
        </w:rPr>
        <w:t>November 201</w:t>
      </w:r>
      <w:r w:rsidR="00D25257">
        <w:rPr>
          <w:rFonts w:cstheme="minorHAnsi"/>
        </w:rPr>
        <w:t>8</w:t>
      </w:r>
      <w:r w:rsidR="009317DC">
        <w:rPr>
          <w:rStyle w:val="FootnoteReference"/>
          <w:rFonts w:cstheme="minorHAnsi"/>
        </w:rPr>
        <w:footnoteReference w:id="9"/>
      </w:r>
      <w:r w:rsidR="003A344F">
        <w:rPr>
          <w:rFonts w:cstheme="minorHAnsi"/>
        </w:rPr>
        <w:t xml:space="preserve"> and November 2019.</w:t>
      </w:r>
      <w:r w:rsidR="003A344F">
        <w:rPr>
          <w:rStyle w:val="FootnoteReference"/>
          <w:rFonts w:cstheme="minorHAnsi"/>
        </w:rPr>
        <w:footnoteReference w:id="10"/>
      </w:r>
      <w:r w:rsidR="000A1779">
        <w:rPr>
          <w:rFonts w:cstheme="minorHAnsi"/>
          <w:vertAlign w:val="superscript"/>
        </w:rPr>
        <w:t xml:space="preserve"> </w:t>
      </w:r>
      <w:r w:rsidR="003C37FB">
        <w:rPr>
          <w:rFonts w:cstheme="minorHAnsi"/>
          <w:vertAlign w:val="superscript"/>
        </w:rPr>
        <w:t xml:space="preserve"> </w:t>
      </w:r>
      <w:r>
        <w:rPr>
          <w:rFonts w:cstheme="minorHAnsi"/>
        </w:rPr>
        <w:t>T</w:t>
      </w:r>
      <w:r w:rsidR="007B3A92" w:rsidRPr="00853C67">
        <w:rPr>
          <w:rFonts w:cstheme="minorHAnsi"/>
        </w:rPr>
        <w:t xml:space="preserve">he following </w:t>
      </w:r>
      <w:r>
        <w:rPr>
          <w:rFonts w:cstheme="minorHAnsi"/>
        </w:rPr>
        <w:t>report reflects the Evaluation Team’s</w:t>
      </w:r>
      <w:r w:rsidR="0003378A">
        <w:rPr>
          <w:rFonts w:cstheme="minorHAnsi"/>
        </w:rPr>
        <w:t xml:space="preserve"> </w:t>
      </w:r>
      <w:r w:rsidR="009B4D80">
        <w:rPr>
          <w:rFonts w:cstheme="minorHAnsi"/>
        </w:rPr>
        <w:t xml:space="preserve">review of laboratory school implementation, operation, successes, and shortcomings in the period from August 2019 to March 2020, prior to the closure of all North Carolina public schools due to the COVID-19 pandemic. As planned, this report includes rigorous analyses of 2018-19 administrative data. Given </w:t>
      </w:r>
      <w:r w:rsidR="00CF10C7">
        <w:rPr>
          <w:rFonts w:cstheme="minorHAnsi"/>
        </w:rPr>
        <w:t xml:space="preserve">the school closures associated with COVID-19, </w:t>
      </w:r>
      <w:r w:rsidR="00A4522B">
        <w:rPr>
          <w:rFonts w:cstheme="minorHAnsi"/>
        </w:rPr>
        <w:t>this report does not include certain data elements (e.g. surveys, s</w:t>
      </w:r>
      <w:r w:rsidR="00C56948">
        <w:rPr>
          <w:rFonts w:cstheme="minorHAnsi"/>
        </w:rPr>
        <w:t>tandardized tests</w:t>
      </w:r>
      <w:r w:rsidR="00A4522B">
        <w:rPr>
          <w:rFonts w:cstheme="minorHAnsi"/>
        </w:rPr>
        <w:t xml:space="preserve">) that would have been collected in spring 2020. The laboratory schools’ response to the COVID-19 pandemic, which resulted in schools transitioning from in-person to remote learning, is addressed in Appendix </w:t>
      </w:r>
      <w:r w:rsidR="002B6AFE">
        <w:rPr>
          <w:rFonts w:cstheme="minorHAnsi"/>
        </w:rPr>
        <w:t>A1</w:t>
      </w:r>
      <w:r w:rsidR="00A4522B">
        <w:rPr>
          <w:rFonts w:cstheme="minorHAnsi"/>
        </w:rPr>
        <w:t>.</w:t>
      </w:r>
    </w:p>
    <w:p w14:paraId="59E65608" w14:textId="77777777" w:rsidR="00A4522B" w:rsidRDefault="00A4522B" w:rsidP="00110B28">
      <w:pPr>
        <w:spacing w:after="0" w:line="240" w:lineRule="auto"/>
        <w:jc w:val="both"/>
        <w:rPr>
          <w:rFonts w:cstheme="minorHAnsi"/>
        </w:rPr>
      </w:pPr>
    </w:p>
    <w:p w14:paraId="7A045325" w14:textId="70BFBB3B" w:rsidR="007B3A92" w:rsidRPr="00853C67" w:rsidRDefault="00C56948" w:rsidP="00110B28">
      <w:pPr>
        <w:spacing w:after="0" w:line="240" w:lineRule="auto"/>
        <w:jc w:val="both"/>
        <w:rPr>
          <w:rFonts w:cstheme="minorHAnsi"/>
        </w:rPr>
      </w:pPr>
      <w:r>
        <w:rPr>
          <w:rFonts w:cstheme="minorHAnsi"/>
        </w:rPr>
        <w:t>T</w:t>
      </w:r>
      <w:r w:rsidR="007B3A92" w:rsidRPr="00853C67">
        <w:rPr>
          <w:rFonts w:cstheme="minorHAnsi"/>
        </w:rPr>
        <w:t xml:space="preserve">he UNC System BOG will submit its own report focusing on the statutorily required laboratory school reporting elements: student enrollment and demographics, student admissions, student achievement and academic progress, outcomes for pre-service candidates in educator preparation programs, best practices of laboratory schools, and other information the </w:t>
      </w:r>
      <w:r w:rsidR="00F42CA2">
        <w:rPr>
          <w:rFonts w:cstheme="minorHAnsi"/>
        </w:rPr>
        <w:t xml:space="preserve">UNC </w:t>
      </w:r>
      <w:r w:rsidR="007B3A92" w:rsidRPr="00853C67">
        <w:rPr>
          <w:rFonts w:cstheme="minorHAnsi"/>
        </w:rPr>
        <w:t>BOG Subcommittee on Laboratory Schools considers appropriate.</w:t>
      </w:r>
      <w:r w:rsidR="007B3A92" w:rsidRPr="00853C67">
        <w:rPr>
          <w:rStyle w:val="FootnoteReference"/>
          <w:rFonts w:cstheme="minorHAnsi"/>
        </w:rPr>
        <w:footnoteReference w:id="11"/>
      </w:r>
      <w:r w:rsidR="007B3A92" w:rsidRPr="00853C67">
        <w:rPr>
          <w:rFonts w:cstheme="minorHAnsi"/>
        </w:rPr>
        <w:t xml:space="preserve"> This in-depth report </w:t>
      </w:r>
      <w:r w:rsidR="00CE453E">
        <w:rPr>
          <w:rFonts w:cstheme="minorHAnsi"/>
        </w:rPr>
        <w:t>from the Evaluation Team is</w:t>
      </w:r>
      <w:r w:rsidR="007B3A92" w:rsidRPr="00853C67">
        <w:rPr>
          <w:rFonts w:cstheme="minorHAnsi"/>
        </w:rPr>
        <w:t xml:space="preserve"> attached to the UNC System BOG report as an appendix, to be submitted to the NCGA by November 15, </w:t>
      </w:r>
      <w:r w:rsidR="00767DD6" w:rsidRPr="00853C67">
        <w:rPr>
          <w:rFonts w:cstheme="minorHAnsi"/>
        </w:rPr>
        <w:t>20</w:t>
      </w:r>
      <w:r w:rsidR="00767DD6">
        <w:rPr>
          <w:rFonts w:cstheme="minorHAnsi"/>
        </w:rPr>
        <w:t>20</w:t>
      </w:r>
      <w:r w:rsidR="007B3A92" w:rsidRPr="00853C67">
        <w:rPr>
          <w:rFonts w:cstheme="minorHAnsi"/>
        </w:rPr>
        <w:t>.</w:t>
      </w:r>
    </w:p>
    <w:p w14:paraId="4FFCF293" w14:textId="77777777" w:rsidR="004C75F7" w:rsidRPr="00853C67" w:rsidRDefault="004C75F7" w:rsidP="00110B28">
      <w:pPr>
        <w:spacing w:after="0" w:line="240" w:lineRule="auto"/>
        <w:jc w:val="both"/>
        <w:rPr>
          <w:rFonts w:cstheme="minorHAnsi"/>
        </w:rPr>
      </w:pPr>
    </w:p>
    <w:p w14:paraId="686414DC" w14:textId="4171769D" w:rsidR="004C75F7" w:rsidRPr="00853C67" w:rsidRDefault="00312D34" w:rsidP="00110B28">
      <w:pPr>
        <w:spacing w:after="0" w:line="240" w:lineRule="auto"/>
        <w:jc w:val="both"/>
        <w:rPr>
          <w:rFonts w:cstheme="minorHAnsi"/>
        </w:rPr>
      </w:pPr>
      <w:r>
        <w:rPr>
          <w:rFonts w:cstheme="minorHAnsi"/>
        </w:rPr>
        <w:t xml:space="preserve">This report </w:t>
      </w:r>
      <w:r w:rsidR="0003378A">
        <w:rPr>
          <w:rFonts w:cstheme="minorHAnsi"/>
        </w:rPr>
        <w:t xml:space="preserve">is organized to address the following </w:t>
      </w:r>
      <w:r w:rsidR="004C75F7" w:rsidRPr="00853C67">
        <w:rPr>
          <w:rFonts w:cstheme="minorHAnsi"/>
        </w:rPr>
        <w:t>evaluation questions</w:t>
      </w:r>
      <w:r w:rsidR="0003378A">
        <w:rPr>
          <w:rFonts w:cstheme="minorHAnsi"/>
        </w:rPr>
        <w:t xml:space="preserve">: </w:t>
      </w:r>
    </w:p>
    <w:p w14:paraId="37EDECA4" w14:textId="77777777" w:rsidR="00C80C61" w:rsidRPr="00C56948" w:rsidRDefault="00C80C61" w:rsidP="00C80C61">
      <w:pPr>
        <w:pStyle w:val="Heading1"/>
        <w:spacing w:before="0" w:after="0" w:line="240" w:lineRule="auto"/>
        <w:rPr>
          <w:sz w:val="18"/>
          <w:szCs w:val="20"/>
        </w:rPr>
      </w:pPr>
      <w:bookmarkStart w:id="3" w:name="_Toc521786822"/>
    </w:p>
    <w:bookmarkEnd w:id="3"/>
    <w:p w14:paraId="197FF6C2" w14:textId="5F7EFA8C" w:rsidR="000F3EF7" w:rsidRPr="00853C67" w:rsidRDefault="000F3EF7" w:rsidP="00F40DE8">
      <w:pPr>
        <w:pStyle w:val="ListParagraph"/>
        <w:numPr>
          <w:ilvl w:val="0"/>
          <w:numId w:val="1"/>
        </w:numPr>
        <w:spacing w:after="0" w:line="240" w:lineRule="auto"/>
        <w:jc w:val="both"/>
        <w:rPr>
          <w:rFonts w:cstheme="minorHAnsi"/>
          <w:i/>
        </w:rPr>
      </w:pPr>
      <w:r w:rsidRPr="00853C67">
        <w:rPr>
          <w:rFonts w:cstheme="minorHAnsi"/>
          <w:i/>
        </w:rPr>
        <w:t>How have the UNC System and UNC System institutions set up laboratory schools to succeed?</w:t>
      </w:r>
    </w:p>
    <w:p w14:paraId="39A6032B" w14:textId="49B88EEE" w:rsidR="000F3EF7" w:rsidRPr="00853C67" w:rsidRDefault="000F3EF7" w:rsidP="00F40DE8">
      <w:pPr>
        <w:pStyle w:val="ListParagraph"/>
        <w:numPr>
          <w:ilvl w:val="0"/>
          <w:numId w:val="1"/>
        </w:numPr>
        <w:spacing w:after="0" w:line="240" w:lineRule="auto"/>
        <w:jc w:val="both"/>
        <w:rPr>
          <w:rFonts w:cstheme="minorHAnsi"/>
          <w:i/>
        </w:rPr>
      </w:pPr>
      <w:r w:rsidRPr="00853C67">
        <w:rPr>
          <w:rFonts w:cstheme="minorHAnsi"/>
          <w:i/>
        </w:rPr>
        <w:t>How do laboratory schools form and harness partnerships to benefit learning, teaching, and school leadership?</w:t>
      </w:r>
    </w:p>
    <w:p w14:paraId="1B497491" w14:textId="332F0424" w:rsidR="000F3EF7" w:rsidRDefault="000F3EF7" w:rsidP="00F40DE8">
      <w:pPr>
        <w:pStyle w:val="ListParagraph"/>
        <w:numPr>
          <w:ilvl w:val="0"/>
          <w:numId w:val="1"/>
        </w:numPr>
        <w:spacing w:after="0" w:line="240" w:lineRule="auto"/>
        <w:jc w:val="both"/>
        <w:rPr>
          <w:rFonts w:cstheme="minorHAnsi"/>
          <w:i/>
        </w:rPr>
      </w:pPr>
      <w:r w:rsidRPr="00853C67">
        <w:rPr>
          <w:rFonts w:cstheme="minorHAnsi"/>
          <w:i/>
        </w:rPr>
        <w:t>Are laboratory schools successfully marketed and operated?</w:t>
      </w:r>
    </w:p>
    <w:p w14:paraId="60FC67D3" w14:textId="77777777" w:rsidR="00CD6008" w:rsidRPr="00853C67" w:rsidRDefault="00CD6008" w:rsidP="00F40DE8">
      <w:pPr>
        <w:pStyle w:val="ListParagraph"/>
        <w:numPr>
          <w:ilvl w:val="0"/>
          <w:numId w:val="1"/>
        </w:numPr>
        <w:spacing w:after="0" w:line="240" w:lineRule="auto"/>
        <w:jc w:val="both"/>
        <w:rPr>
          <w:rFonts w:cstheme="minorHAnsi"/>
          <w:i/>
        </w:rPr>
      </w:pPr>
      <w:r w:rsidRPr="00853C67">
        <w:rPr>
          <w:rFonts w:cstheme="minorHAnsi"/>
          <w:i/>
        </w:rPr>
        <w:t>Do laboratory schools improve the academic performance of students?</w:t>
      </w:r>
    </w:p>
    <w:p w14:paraId="4DC2BB63" w14:textId="0EFFBEB7" w:rsidR="000F3EF7" w:rsidRDefault="000F3EF7" w:rsidP="00F40DE8">
      <w:pPr>
        <w:pStyle w:val="ListParagraph"/>
        <w:numPr>
          <w:ilvl w:val="0"/>
          <w:numId w:val="1"/>
        </w:numPr>
        <w:spacing w:after="0" w:line="240" w:lineRule="auto"/>
        <w:jc w:val="both"/>
        <w:rPr>
          <w:rFonts w:cstheme="minorHAnsi"/>
          <w:i/>
        </w:rPr>
      </w:pPr>
      <w:r w:rsidRPr="00853C67">
        <w:rPr>
          <w:rFonts w:cstheme="minorHAnsi"/>
          <w:i/>
        </w:rPr>
        <w:lastRenderedPageBreak/>
        <w:t xml:space="preserve">Do laboratory schools benefit students’ </w:t>
      </w:r>
      <w:r w:rsidR="003B0C03" w:rsidRPr="00853C67">
        <w:rPr>
          <w:rFonts w:cstheme="minorHAnsi"/>
          <w:i/>
        </w:rPr>
        <w:t>social-emotional</w:t>
      </w:r>
      <w:r w:rsidRPr="00853C67">
        <w:rPr>
          <w:rFonts w:cstheme="minorHAnsi"/>
          <w:i/>
        </w:rPr>
        <w:t xml:space="preserve"> needs and engagement with school?</w:t>
      </w:r>
    </w:p>
    <w:p w14:paraId="1537128C" w14:textId="22AF20B8" w:rsidR="000F3EF7" w:rsidRPr="00853C67" w:rsidRDefault="000F3EF7" w:rsidP="00F40DE8">
      <w:pPr>
        <w:pStyle w:val="ListParagraph"/>
        <w:numPr>
          <w:ilvl w:val="0"/>
          <w:numId w:val="1"/>
        </w:numPr>
        <w:spacing w:after="0" w:line="240" w:lineRule="auto"/>
        <w:jc w:val="both"/>
        <w:rPr>
          <w:rFonts w:cstheme="minorHAnsi"/>
          <w:i/>
        </w:rPr>
      </w:pPr>
      <w:r w:rsidRPr="00853C67">
        <w:rPr>
          <w:rFonts w:cstheme="minorHAnsi"/>
          <w:i/>
        </w:rPr>
        <w:t>Do the laboratory schools support and strengthen educator preparation?</w:t>
      </w:r>
    </w:p>
    <w:p w14:paraId="04805A80" w14:textId="77777777" w:rsidR="00B755CF" w:rsidRPr="00B755CF" w:rsidRDefault="000F3EF7" w:rsidP="00F40DE8">
      <w:pPr>
        <w:pStyle w:val="ListParagraph"/>
        <w:numPr>
          <w:ilvl w:val="0"/>
          <w:numId w:val="1"/>
        </w:numPr>
        <w:spacing w:after="0" w:line="240" w:lineRule="auto"/>
        <w:jc w:val="both"/>
        <w:rPr>
          <w:rFonts w:cstheme="minorHAnsi"/>
          <w:i/>
        </w:rPr>
      </w:pPr>
      <w:r w:rsidRPr="00853C67">
        <w:rPr>
          <w:rFonts w:cstheme="minorHAnsi"/>
          <w:i/>
        </w:rPr>
        <w:t>How have the UNC System and UNC System institutions set up laboratory schools to grow and sustain?</w:t>
      </w:r>
      <w:bookmarkStart w:id="4" w:name="_Toc521786823"/>
    </w:p>
    <w:p w14:paraId="2B751460" w14:textId="77777777" w:rsidR="009619D8" w:rsidRDefault="009619D8" w:rsidP="00C80C61">
      <w:pPr>
        <w:pStyle w:val="Heading1"/>
        <w:spacing w:before="0" w:after="0" w:line="240" w:lineRule="auto"/>
        <w:rPr>
          <w:rFonts w:asciiTheme="minorHAnsi" w:hAnsiTheme="minorHAnsi" w:cstheme="minorHAnsi"/>
          <w:color w:val="auto"/>
          <w:szCs w:val="22"/>
        </w:rPr>
      </w:pPr>
    </w:p>
    <w:p w14:paraId="39592669" w14:textId="1F7D7819" w:rsidR="00856B1A" w:rsidRPr="009A2964" w:rsidRDefault="00856B1A" w:rsidP="00C80C61">
      <w:pPr>
        <w:pStyle w:val="Heading1"/>
        <w:spacing w:before="0" w:after="0" w:line="240" w:lineRule="auto"/>
        <w:rPr>
          <w:rFonts w:asciiTheme="minorHAnsi" w:hAnsiTheme="minorHAnsi" w:cstheme="minorHAnsi"/>
          <w:color w:val="auto"/>
          <w:szCs w:val="22"/>
        </w:rPr>
      </w:pPr>
      <w:r w:rsidRPr="009A2964">
        <w:rPr>
          <w:rFonts w:asciiTheme="minorHAnsi" w:hAnsiTheme="minorHAnsi" w:cstheme="minorHAnsi"/>
          <w:color w:val="auto"/>
          <w:szCs w:val="22"/>
        </w:rPr>
        <w:t>Evaluation Sample</w:t>
      </w:r>
      <w:bookmarkEnd w:id="4"/>
    </w:p>
    <w:p w14:paraId="52F4A252" w14:textId="77777777" w:rsidR="00C80C61" w:rsidRPr="00853C67" w:rsidRDefault="00C80C61" w:rsidP="001D1FE6">
      <w:pPr>
        <w:spacing w:after="0" w:line="240" w:lineRule="auto"/>
        <w:jc w:val="both"/>
        <w:rPr>
          <w:rFonts w:cstheme="minorHAnsi"/>
        </w:rPr>
      </w:pPr>
    </w:p>
    <w:p w14:paraId="4B484B78" w14:textId="773E99D3" w:rsidR="00764B2F" w:rsidRDefault="00A365F9" w:rsidP="001D1FE6">
      <w:pPr>
        <w:spacing w:after="0" w:line="240" w:lineRule="auto"/>
        <w:jc w:val="both"/>
        <w:rPr>
          <w:rFonts w:cstheme="minorHAnsi"/>
        </w:rPr>
      </w:pPr>
      <w:r>
        <w:rPr>
          <w:rFonts w:cstheme="minorHAnsi"/>
        </w:rPr>
        <w:t>T</w:t>
      </w:r>
      <w:r w:rsidR="00D222C9" w:rsidRPr="00853C67">
        <w:rPr>
          <w:rFonts w:cstheme="minorHAnsi"/>
        </w:rPr>
        <w:t xml:space="preserve">his </w:t>
      </w:r>
      <w:r w:rsidR="00865AC2" w:rsidRPr="00853C67">
        <w:rPr>
          <w:rFonts w:cstheme="minorHAnsi"/>
        </w:rPr>
        <w:t>in-depth</w:t>
      </w:r>
      <w:r w:rsidR="00D222C9" w:rsidRPr="00853C67">
        <w:rPr>
          <w:rFonts w:cstheme="minorHAnsi"/>
        </w:rPr>
        <w:t xml:space="preserve"> evaluation report focuses on the</w:t>
      </w:r>
      <w:r w:rsidR="0029722F" w:rsidRPr="00853C67">
        <w:rPr>
          <w:rFonts w:cstheme="minorHAnsi"/>
        </w:rPr>
        <w:t xml:space="preserve"> </w:t>
      </w:r>
      <w:r w:rsidR="00037841">
        <w:rPr>
          <w:rFonts w:cstheme="minorHAnsi"/>
        </w:rPr>
        <w:t>five</w:t>
      </w:r>
      <w:r w:rsidR="0029722F" w:rsidRPr="00853C67">
        <w:rPr>
          <w:rFonts w:cstheme="minorHAnsi"/>
        </w:rPr>
        <w:t xml:space="preserve"> UNC System laboratory schools in operation during the 20</w:t>
      </w:r>
      <w:r w:rsidR="00237F58">
        <w:rPr>
          <w:rFonts w:cstheme="minorHAnsi"/>
        </w:rPr>
        <w:t>19-20</w:t>
      </w:r>
      <w:r w:rsidR="0029722F" w:rsidRPr="00853C67">
        <w:rPr>
          <w:rFonts w:cstheme="minorHAnsi"/>
        </w:rPr>
        <w:t xml:space="preserve"> s</w:t>
      </w:r>
      <w:r w:rsidR="00E32FB4" w:rsidRPr="00853C67">
        <w:rPr>
          <w:rFonts w:cstheme="minorHAnsi"/>
        </w:rPr>
        <w:t xml:space="preserve">chool year: </w:t>
      </w:r>
      <w:r w:rsidR="0029722F" w:rsidRPr="00853C67">
        <w:rPr>
          <w:rFonts w:cstheme="minorHAnsi"/>
        </w:rPr>
        <w:t xml:space="preserve">The ECU </w:t>
      </w:r>
      <w:r w:rsidR="001D1FE6" w:rsidRPr="00853C67">
        <w:rPr>
          <w:rFonts w:cstheme="minorHAnsi"/>
        </w:rPr>
        <w:t xml:space="preserve">Community </w:t>
      </w:r>
      <w:r w:rsidR="0029722F" w:rsidRPr="00853C67">
        <w:rPr>
          <w:rFonts w:cstheme="minorHAnsi"/>
        </w:rPr>
        <w:t>School</w:t>
      </w:r>
      <w:r w:rsidR="00FB7934">
        <w:rPr>
          <w:rFonts w:cstheme="minorHAnsi"/>
        </w:rPr>
        <w:t>,</w:t>
      </w:r>
      <w:r w:rsidR="0029722F" w:rsidRPr="00853C67">
        <w:rPr>
          <w:rFonts w:cstheme="minorHAnsi"/>
        </w:rPr>
        <w:t xml:space="preserve"> The Catamount School (WCU)</w:t>
      </w:r>
      <w:r w:rsidR="00FB7934">
        <w:rPr>
          <w:rFonts w:cstheme="minorHAnsi"/>
        </w:rPr>
        <w:t xml:space="preserve">, the Appalachian </w:t>
      </w:r>
      <w:r w:rsidR="00124C58">
        <w:rPr>
          <w:rFonts w:cstheme="minorHAnsi"/>
        </w:rPr>
        <w:t xml:space="preserve">State University </w:t>
      </w:r>
      <w:r w:rsidR="00FB7934">
        <w:rPr>
          <w:rFonts w:cstheme="minorHAnsi"/>
        </w:rPr>
        <w:t>Academy at Middle Fork, the Moss Street Partnership School (UNCG), and D.C. Virgo Preparatory Academy (UNCW)</w:t>
      </w:r>
      <w:r w:rsidR="0029722F" w:rsidRPr="00853C67">
        <w:rPr>
          <w:rFonts w:cstheme="minorHAnsi"/>
        </w:rPr>
        <w:t xml:space="preserve">. </w:t>
      </w:r>
      <w:r w:rsidR="00B806F7">
        <w:rPr>
          <w:rFonts w:cstheme="minorHAnsi"/>
        </w:rPr>
        <w:t>It also includes</w:t>
      </w:r>
      <w:r w:rsidR="00D74B8E">
        <w:rPr>
          <w:rFonts w:cstheme="minorHAnsi"/>
        </w:rPr>
        <w:t xml:space="preserve"> some initial reporting on Niner University Elementary School (UNCC)</w:t>
      </w:r>
      <w:r w:rsidR="00C56948">
        <w:rPr>
          <w:rFonts w:cstheme="minorHAnsi"/>
        </w:rPr>
        <w:t>,</w:t>
      </w:r>
      <w:r w:rsidR="00D74B8E">
        <w:rPr>
          <w:rFonts w:cstheme="minorHAnsi"/>
        </w:rPr>
        <w:t xml:space="preserve"> which opened in August 2020. </w:t>
      </w:r>
      <w:r w:rsidR="001D1FE6" w:rsidRPr="00853C67">
        <w:rPr>
          <w:rFonts w:cstheme="minorHAnsi"/>
        </w:rPr>
        <w:t>The ECU Community</w:t>
      </w:r>
      <w:r w:rsidR="00E32FB4" w:rsidRPr="00853C67">
        <w:rPr>
          <w:rFonts w:cstheme="minorHAnsi"/>
        </w:rPr>
        <w:t xml:space="preserve"> School is co-located within </w:t>
      </w:r>
      <w:r w:rsidR="001E006D">
        <w:rPr>
          <w:rFonts w:cstheme="minorHAnsi"/>
        </w:rPr>
        <w:t xml:space="preserve">the </w:t>
      </w:r>
      <w:r w:rsidR="00E32FB4" w:rsidRPr="00853C67">
        <w:rPr>
          <w:rFonts w:cstheme="minorHAnsi"/>
        </w:rPr>
        <w:t>South Greenville Elementary School</w:t>
      </w:r>
      <w:r w:rsidR="001E006D">
        <w:rPr>
          <w:rFonts w:cstheme="minorHAnsi"/>
        </w:rPr>
        <w:t xml:space="preserve"> building</w:t>
      </w:r>
      <w:r w:rsidR="00E32FB4" w:rsidRPr="00853C67">
        <w:rPr>
          <w:rFonts w:cstheme="minorHAnsi"/>
        </w:rPr>
        <w:t xml:space="preserve"> in Pitt County</w:t>
      </w:r>
      <w:r w:rsidR="00FB7934">
        <w:rPr>
          <w:rFonts w:cstheme="minorHAnsi"/>
        </w:rPr>
        <w:t xml:space="preserve"> and serves</w:t>
      </w:r>
      <w:r w:rsidR="00E32FB4" w:rsidRPr="00853C67">
        <w:rPr>
          <w:rFonts w:cstheme="minorHAnsi"/>
        </w:rPr>
        <w:t xml:space="preserve"> students in grades </w:t>
      </w:r>
      <w:r w:rsidR="00865AC2" w:rsidRPr="00853C67">
        <w:rPr>
          <w:rFonts w:cstheme="minorHAnsi"/>
        </w:rPr>
        <w:t>K-5</w:t>
      </w:r>
      <w:r w:rsidR="00E32FB4" w:rsidRPr="00853C67">
        <w:rPr>
          <w:rFonts w:cstheme="minorHAnsi"/>
        </w:rPr>
        <w:t>. The Catamount School is co-located within</w:t>
      </w:r>
      <w:r w:rsidR="001E006D">
        <w:rPr>
          <w:rFonts w:cstheme="minorHAnsi"/>
        </w:rPr>
        <w:t xml:space="preserve"> the</w:t>
      </w:r>
      <w:r w:rsidR="00E32FB4" w:rsidRPr="00853C67">
        <w:rPr>
          <w:rFonts w:cstheme="minorHAnsi"/>
        </w:rPr>
        <w:t xml:space="preserve"> Smoky Mountain High School</w:t>
      </w:r>
      <w:r w:rsidR="001E006D">
        <w:rPr>
          <w:rFonts w:cstheme="minorHAnsi"/>
        </w:rPr>
        <w:t xml:space="preserve"> building</w:t>
      </w:r>
      <w:r w:rsidR="00E32FB4" w:rsidRPr="00853C67">
        <w:rPr>
          <w:rFonts w:cstheme="minorHAnsi"/>
        </w:rPr>
        <w:t xml:space="preserve"> in Jackson County and serves students in grades 6-8.</w:t>
      </w:r>
      <w:r w:rsidR="00F513A5" w:rsidRPr="00853C67">
        <w:rPr>
          <w:rFonts w:cstheme="minorHAnsi"/>
        </w:rPr>
        <w:t xml:space="preserve"> </w:t>
      </w:r>
      <w:r w:rsidR="00FB7934">
        <w:rPr>
          <w:rFonts w:cstheme="minorHAnsi"/>
        </w:rPr>
        <w:t xml:space="preserve">The Appalachian State </w:t>
      </w:r>
      <w:r w:rsidR="004E3072">
        <w:rPr>
          <w:rFonts w:cstheme="minorHAnsi"/>
        </w:rPr>
        <w:t xml:space="preserve">University </w:t>
      </w:r>
      <w:r w:rsidR="00FB7934">
        <w:rPr>
          <w:rFonts w:cstheme="minorHAnsi"/>
        </w:rPr>
        <w:t xml:space="preserve">Academy at Middle Fork </w:t>
      </w:r>
      <w:r w:rsidR="00CD6DAE">
        <w:rPr>
          <w:rFonts w:cstheme="minorHAnsi"/>
        </w:rPr>
        <w:t xml:space="preserve">serves </w:t>
      </w:r>
      <w:r w:rsidR="00A35612">
        <w:rPr>
          <w:rFonts w:cstheme="minorHAnsi"/>
        </w:rPr>
        <w:t xml:space="preserve">students in </w:t>
      </w:r>
      <w:r w:rsidR="00CD6DAE">
        <w:rPr>
          <w:rFonts w:cstheme="minorHAnsi"/>
        </w:rPr>
        <w:t xml:space="preserve">grades </w:t>
      </w:r>
      <w:r w:rsidR="005A61AC">
        <w:rPr>
          <w:rFonts w:cstheme="minorHAnsi"/>
        </w:rPr>
        <w:t>K-5</w:t>
      </w:r>
      <w:r w:rsidR="00CD6DAE">
        <w:rPr>
          <w:rFonts w:cstheme="minorHAnsi"/>
        </w:rPr>
        <w:t xml:space="preserve"> in a</w:t>
      </w:r>
      <w:r w:rsidR="00FD29D4">
        <w:rPr>
          <w:rFonts w:cstheme="minorHAnsi"/>
        </w:rPr>
        <w:t xml:space="preserve">n elementary school formerly operated by Winston-Salem Forsyth County Schools. The Moss Street Partnership School serves students in grades K-5 in an elementary school formerly operated by Rockingham County Schools. </w:t>
      </w:r>
      <w:r w:rsidR="00764B2F">
        <w:rPr>
          <w:rFonts w:cstheme="minorHAnsi"/>
        </w:rPr>
        <w:t xml:space="preserve">D.C. Virgo Preparatory Academy (DCVPA) is a K-8 school in Wilmington that occupies a former New Hanover County Schools (NHCS) middle school. </w:t>
      </w:r>
      <w:r w:rsidR="00D74B8E">
        <w:rPr>
          <w:rFonts w:cstheme="minorHAnsi"/>
        </w:rPr>
        <w:t xml:space="preserve">Niner University Elementary School (NUES) </w:t>
      </w:r>
      <w:r w:rsidR="005120E3">
        <w:rPr>
          <w:rFonts w:cstheme="minorHAnsi"/>
        </w:rPr>
        <w:t xml:space="preserve">is a </w:t>
      </w:r>
      <w:r w:rsidR="005120E3" w:rsidRPr="001F1777">
        <w:rPr>
          <w:rFonts w:cstheme="minorHAnsi"/>
        </w:rPr>
        <w:t>K-</w:t>
      </w:r>
      <w:r w:rsidR="001F1777" w:rsidRPr="001F1777">
        <w:rPr>
          <w:rFonts w:cstheme="minorHAnsi"/>
        </w:rPr>
        <w:t>2</w:t>
      </w:r>
      <w:r w:rsidR="005120E3" w:rsidRPr="001F1777">
        <w:rPr>
          <w:rFonts w:cstheme="minorHAnsi"/>
        </w:rPr>
        <w:t xml:space="preserve"> school</w:t>
      </w:r>
      <w:r w:rsidR="005120E3">
        <w:rPr>
          <w:rFonts w:cstheme="minorHAnsi"/>
        </w:rPr>
        <w:t xml:space="preserve"> loc</w:t>
      </w:r>
      <w:r w:rsidR="00D74B8E">
        <w:rPr>
          <w:rFonts w:cstheme="minorHAnsi"/>
        </w:rPr>
        <w:t>ated in a</w:t>
      </w:r>
      <w:r w:rsidR="005120E3">
        <w:rPr>
          <w:rFonts w:cstheme="minorHAnsi"/>
        </w:rPr>
        <w:t xml:space="preserve"> formerly vacant Charlotte Mecklenburg Schools building in west Charlotte.</w:t>
      </w:r>
      <w:r w:rsidR="001F1777">
        <w:rPr>
          <w:rStyle w:val="FootnoteReference"/>
          <w:rFonts w:cstheme="minorHAnsi"/>
        </w:rPr>
        <w:footnoteReference w:id="12"/>
      </w:r>
      <w:r w:rsidR="005120E3">
        <w:rPr>
          <w:rFonts w:cstheme="minorHAnsi"/>
        </w:rPr>
        <w:t xml:space="preserve"> </w:t>
      </w:r>
    </w:p>
    <w:p w14:paraId="77E5C571" w14:textId="77777777" w:rsidR="00764B2F" w:rsidRDefault="00764B2F" w:rsidP="001D1FE6">
      <w:pPr>
        <w:spacing w:after="0" w:line="240" w:lineRule="auto"/>
        <w:jc w:val="both"/>
        <w:rPr>
          <w:rFonts w:cstheme="minorHAnsi"/>
        </w:rPr>
      </w:pPr>
    </w:p>
    <w:p w14:paraId="76CAC24C" w14:textId="6AA3D5FC" w:rsidR="0047769F" w:rsidRPr="009A2964" w:rsidRDefault="00856B1A" w:rsidP="00C80C61">
      <w:pPr>
        <w:pStyle w:val="Heading1"/>
        <w:spacing w:before="0" w:after="0" w:line="240" w:lineRule="auto"/>
        <w:rPr>
          <w:rFonts w:asciiTheme="minorHAnsi" w:hAnsiTheme="minorHAnsi" w:cstheme="minorHAnsi"/>
          <w:color w:val="auto"/>
          <w:szCs w:val="22"/>
        </w:rPr>
      </w:pPr>
      <w:bookmarkStart w:id="5" w:name="_Toc521786824"/>
      <w:bookmarkStart w:id="6" w:name="_Hlk8727363"/>
      <w:r w:rsidRPr="009A2964">
        <w:rPr>
          <w:rFonts w:asciiTheme="minorHAnsi" w:hAnsiTheme="minorHAnsi" w:cstheme="minorHAnsi"/>
          <w:color w:val="auto"/>
          <w:szCs w:val="22"/>
        </w:rPr>
        <w:t>Data Sources</w:t>
      </w:r>
      <w:bookmarkEnd w:id="5"/>
      <w:r w:rsidR="00E21CA8">
        <w:rPr>
          <w:rFonts w:asciiTheme="minorHAnsi" w:hAnsiTheme="minorHAnsi" w:cstheme="minorHAnsi"/>
          <w:color w:val="auto"/>
          <w:szCs w:val="22"/>
        </w:rPr>
        <w:t xml:space="preserve"> and Analysis</w:t>
      </w:r>
    </w:p>
    <w:p w14:paraId="1662F1A3" w14:textId="77777777" w:rsidR="00C80C61" w:rsidRPr="004A3BEE" w:rsidRDefault="00C80C61" w:rsidP="004D6971">
      <w:pPr>
        <w:spacing w:after="0" w:line="240" w:lineRule="auto"/>
        <w:jc w:val="both"/>
        <w:rPr>
          <w:rFonts w:cstheme="minorHAnsi"/>
        </w:rPr>
      </w:pPr>
    </w:p>
    <w:p w14:paraId="214F5571" w14:textId="000E1168" w:rsidR="007E5258" w:rsidRDefault="0047769F" w:rsidP="004D6971">
      <w:pPr>
        <w:spacing w:after="0" w:line="240" w:lineRule="auto"/>
        <w:jc w:val="both"/>
        <w:rPr>
          <w:rFonts w:cstheme="minorHAnsi"/>
        </w:rPr>
      </w:pPr>
      <w:r w:rsidRPr="004A3BEE">
        <w:rPr>
          <w:rFonts w:cstheme="minorHAnsi"/>
        </w:rPr>
        <w:t>To complete</w:t>
      </w:r>
      <w:r w:rsidR="00890FC9" w:rsidRPr="004A3BEE">
        <w:rPr>
          <w:rFonts w:cstheme="minorHAnsi"/>
        </w:rPr>
        <w:t xml:space="preserve"> an in-depth review of the laboratory school</w:t>
      </w:r>
      <w:r w:rsidR="00CE453E">
        <w:rPr>
          <w:rFonts w:cstheme="minorHAnsi"/>
        </w:rPr>
        <w:t xml:space="preserve">s, the Evaluation Team </w:t>
      </w:r>
      <w:r w:rsidR="001326EF">
        <w:rPr>
          <w:rFonts w:cstheme="minorHAnsi"/>
        </w:rPr>
        <w:t xml:space="preserve">typically </w:t>
      </w:r>
      <w:r w:rsidR="00CE453E">
        <w:rPr>
          <w:rFonts w:cstheme="minorHAnsi"/>
        </w:rPr>
        <w:t>relies</w:t>
      </w:r>
      <w:r w:rsidR="00890FC9" w:rsidRPr="004A3BEE">
        <w:rPr>
          <w:rFonts w:cstheme="minorHAnsi"/>
        </w:rPr>
        <w:t xml:space="preserve"> on five main data sources:</w:t>
      </w:r>
      <w:r w:rsidRPr="004A3BEE">
        <w:rPr>
          <w:rFonts w:cstheme="minorHAnsi"/>
        </w:rPr>
        <w:t xml:space="preserve"> </w:t>
      </w:r>
      <w:r w:rsidR="007E5258">
        <w:rPr>
          <w:rFonts w:cstheme="minorHAnsi"/>
        </w:rPr>
        <w:t>(1) interviews with university and laboratory school leadership, personnel, and partners; (2) laboratory school status reports completed by UNC System C</w:t>
      </w:r>
      <w:r w:rsidR="00A67246">
        <w:rPr>
          <w:rFonts w:cstheme="minorHAnsi"/>
        </w:rPr>
        <w:t>olleges of Education (C</w:t>
      </w:r>
      <w:r w:rsidR="007E5258">
        <w:rPr>
          <w:rFonts w:cstheme="minorHAnsi"/>
        </w:rPr>
        <w:t>OE</w:t>
      </w:r>
      <w:r w:rsidR="00A67246">
        <w:rPr>
          <w:rFonts w:cstheme="minorHAnsi"/>
        </w:rPr>
        <w:t>)</w:t>
      </w:r>
      <w:r w:rsidR="007E5258">
        <w:rPr>
          <w:rFonts w:cstheme="minorHAnsi"/>
        </w:rPr>
        <w:t xml:space="preserve">; (3) administrative data on students, schools, and school personnel form the North Carolina Department of Public Instruction (NCDPI); (4) survey responses from laboratory school students and families and from beginning teachers and their employers; and (5) administrative data from COEs on educator preparation programs and pre-service candidates. Given the COVID-19 pandemic and associated school closures, </w:t>
      </w:r>
      <w:r w:rsidR="00284E6A">
        <w:rPr>
          <w:rFonts w:cstheme="minorHAnsi"/>
        </w:rPr>
        <w:t xml:space="preserve">student and family </w:t>
      </w:r>
      <w:r w:rsidR="00033F3D">
        <w:rPr>
          <w:rFonts w:cstheme="minorHAnsi"/>
        </w:rPr>
        <w:t xml:space="preserve">survey data </w:t>
      </w:r>
      <w:r w:rsidR="00284E6A">
        <w:rPr>
          <w:rFonts w:cstheme="minorHAnsi"/>
        </w:rPr>
        <w:t>are</w:t>
      </w:r>
      <w:r w:rsidR="00033F3D">
        <w:rPr>
          <w:rFonts w:cstheme="minorHAnsi"/>
        </w:rPr>
        <w:t xml:space="preserve"> not available for the 2019-20 school year. </w:t>
      </w:r>
      <w:r w:rsidR="00284E6A">
        <w:rPr>
          <w:rFonts w:cstheme="minorHAnsi"/>
        </w:rPr>
        <w:t>Likewise, because North Carolina did not administer standardized assessments in spring 2020, this report does not include a summary of 2019-20 school-level achievement.</w:t>
      </w:r>
    </w:p>
    <w:p w14:paraId="03B8AD25" w14:textId="77777777" w:rsidR="007E5258" w:rsidRDefault="007E5258" w:rsidP="004D6971">
      <w:pPr>
        <w:spacing w:after="0" w:line="240" w:lineRule="auto"/>
        <w:jc w:val="both"/>
        <w:rPr>
          <w:rFonts w:cstheme="minorHAnsi"/>
        </w:rPr>
      </w:pPr>
    </w:p>
    <w:p w14:paraId="1802FB58" w14:textId="36BE6912" w:rsidR="006268C0" w:rsidRDefault="004965C7" w:rsidP="004D6971">
      <w:pPr>
        <w:spacing w:after="0" w:line="240" w:lineRule="auto"/>
        <w:jc w:val="both"/>
        <w:rPr>
          <w:rFonts w:cstheme="minorHAnsi"/>
        </w:rPr>
      </w:pPr>
      <w:r w:rsidRPr="004A3BEE">
        <w:rPr>
          <w:rFonts w:cstheme="minorHAnsi"/>
        </w:rPr>
        <w:t>Much of the data</w:t>
      </w:r>
      <w:r w:rsidR="007A4343" w:rsidRPr="004A3BEE">
        <w:rPr>
          <w:rFonts w:cstheme="minorHAnsi"/>
        </w:rPr>
        <w:t xml:space="preserve"> for this </w:t>
      </w:r>
      <w:r w:rsidR="002E0DD0">
        <w:rPr>
          <w:rFonts w:cstheme="minorHAnsi"/>
        </w:rPr>
        <w:t xml:space="preserve">evaluation </w:t>
      </w:r>
      <w:r w:rsidR="007A4343" w:rsidRPr="004A3BEE">
        <w:rPr>
          <w:rFonts w:cstheme="minorHAnsi"/>
        </w:rPr>
        <w:t xml:space="preserve">report comes from </w:t>
      </w:r>
      <w:r w:rsidR="00185C9D">
        <w:rPr>
          <w:rFonts w:cstheme="minorHAnsi"/>
        </w:rPr>
        <w:t xml:space="preserve">status reports completed by UNC System </w:t>
      </w:r>
      <w:r w:rsidR="00A67246">
        <w:rPr>
          <w:rFonts w:cstheme="minorHAnsi"/>
        </w:rPr>
        <w:t xml:space="preserve">COEs </w:t>
      </w:r>
      <w:r w:rsidR="00185C9D">
        <w:rPr>
          <w:rFonts w:cstheme="minorHAnsi"/>
        </w:rPr>
        <w:t>and laboratory school principals</w:t>
      </w:r>
      <w:r w:rsidR="00B63052">
        <w:rPr>
          <w:rFonts w:cstheme="minorHAnsi"/>
        </w:rPr>
        <w:t xml:space="preserve">. </w:t>
      </w:r>
      <w:r w:rsidRPr="004A3BEE">
        <w:rPr>
          <w:rFonts w:cstheme="minorHAnsi"/>
        </w:rPr>
        <w:t>Additional data for this report come from stud</w:t>
      </w:r>
      <w:r w:rsidR="00D23A78" w:rsidRPr="004A3BEE">
        <w:rPr>
          <w:rFonts w:cstheme="minorHAnsi"/>
        </w:rPr>
        <w:t>ent demographic information</w:t>
      </w:r>
      <w:r w:rsidR="007A4343" w:rsidRPr="004A3BEE">
        <w:rPr>
          <w:rFonts w:cstheme="minorHAnsi"/>
        </w:rPr>
        <w:t xml:space="preserve">, </w:t>
      </w:r>
      <w:r w:rsidR="006268C0">
        <w:rPr>
          <w:rFonts w:cstheme="minorHAnsi"/>
        </w:rPr>
        <w:t xml:space="preserve">interviews with laboratory school principals and university COE leaders on laboratory school responses to COVID-19, and analyses of administrative data. See Appendix </w:t>
      </w:r>
      <w:r w:rsidR="002B6AFE">
        <w:rPr>
          <w:rFonts w:cstheme="minorHAnsi"/>
        </w:rPr>
        <w:t>A2</w:t>
      </w:r>
      <w:r w:rsidR="006268C0">
        <w:rPr>
          <w:rFonts w:cstheme="minorHAnsi"/>
        </w:rPr>
        <w:t xml:space="preserve"> for further detail on the data sources, including their alignment with the evaluation questions and the timing/availability of data.</w:t>
      </w:r>
    </w:p>
    <w:p w14:paraId="1E420C90" w14:textId="77777777" w:rsidR="006268C0" w:rsidRDefault="006268C0" w:rsidP="004D6971">
      <w:pPr>
        <w:spacing w:after="0" w:line="240" w:lineRule="auto"/>
        <w:jc w:val="both"/>
        <w:rPr>
          <w:rFonts w:cstheme="minorHAnsi"/>
        </w:rPr>
      </w:pPr>
    </w:p>
    <w:p w14:paraId="41FDBBE4" w14:textId="384D35CC" w:rsidR="00D052FB" w:rsidRPr="009A2964" w:rsidRDefault="00294762" w:rsidP="00EB0C81">
      <w:pPr>
        <w:pStyle w:val="Heading1"/>
        <w:spacing w:before="0" w:after="0" w:line="240" w:lineRule="auto"/>
        <w:rPr>
          <w:rFonts w:asciiTheme="minorHAnsi" w:hAnsiTheme="minorHAnsi" w:cstheme="minorHAnsi"/>
          <w:color w:val="auto"/>
          <w:szCs w:val="22"/>
        </w:rPr>
      </w:pPr>
      <w:bookmarkStart w:id="7" w:name="_Toc521786830"/>
      <w:r w:rsidRPr="009A2964">
        <w:rPr>
          <w:rFonts w:asciiTheme="minorHAnsi" w:hAnsiTheme="minorHAnsi" w:cstheme="minorHAnsi"/>
          <w:color w:val="auto"/>
          <w:szCs w:val="22"/>
        </w:rPr>
        <w:lastRenderedPageBreak/>
        <w:t>Analysis Methods</w:t>
      </w:r>
      <w:bookmarkEnd w:id="7"/>
    </w:p>
    <w:p w14:paraId="0384E220" w14:textId="77777777" w:rsidR="00EB0C81" w:rsidRPr="000916FD" w:rsidRDefault="00EB0C81" w:rsidP="00EB0C81">
      <w:pPr>
        <w:pStyle w:val="Heading2"/>
        <w:spacing w:before="0" w:after="0" w:line="240" w:lineRule="auto"/>
        <w:rPr>
          <w:rFonts w:cstheme="minorHAnsi"/>
          <w:sz w:val="22"/>
          <w:szCs w:val="22"/>
        </w:rPr>
      </w:pPr>
      <w:bookmarkStart w:id="8" w:name="_Toc521786831"/>
    </w:p>
    <w:p w14:paraId="527206E9" w14:textId="15781298" w:rsidR="009249D1" w:rsidRPr="000916FD" w:rsidRDefault="00D052FB" w:rsidP="00EB0C81">
      <w:pPr>
        <w:pStyle w:val="Heading2"/>
        <w:spacing w:before="0" w:after="0" w:line="240" w:lineRule="auto"/>
        <w:rPr>
          <w:rFonts w:cstheme="minorHAnsi"/>
          <w:sz w:val="22"/>
          <w:szCs w:val="22"/>
        </w:rPr>
      </w:pPr>
      <w:r w:rsidRPr="000916FD">
        <w:rPr>
          <w:rFonts w:cstheme="minorHAnsi"/>
          <w:sz w:val="22"/>
          <w:szCs w:val="22"/>
        </w:rPr>
        <w:t xml:space="preserve">Qualitative </w:t>
      </w:r>
      <w:r w:rsidR="00224CDF">
        <w:rPr>
          <w:rFonts w:cstheme="minorHAnsi"/>
          <w:sz w:val="22"/>
          <w:szCs w:val="22"/>
        </w:rPr>
        <w:t>d</w:t>
      </w:r>
      <w:r w:rsidR="009249D1" w:rsidRPr="000916FD">
        <w:rPr>
          <w:rFonts w:cstheme="minorHAnsi"/>
          <w:sz w:val="22"/>
          <w:szCs w:val="22"/>
        </w:rPr>
        <w:t>ata analyses</w:t>
      </w:r>
      <w:bookmarkEnd w:id="8"/>
    </w:p>
    <w:p w14:paraId="6CFC745D" w14:textId="77777777" w:rsidR="00EB0C81" w:rsidRPr="000916FD" w:rsidRDefault="00EB0C81" w:rsidP="009E3F0D">
      <w:pPr>
        <w:spacing w:after="0" w:line="240" w:lineRule="auto"/>
        <w:jc w:val="both"/>
        <w:rPr>
          <w:rFonts w:cstheme="minorHAnsi"/>
        </w:rPr>
      </w:pPr>
    </w:p>
    <w:p w14:paraId="29EA446F" w14:textId="2F749C94" w:rsidR="009E3F0D" w:rsidRPr="000916FD" w:rsidRDefault="009249D1" w:rsidP="009E3F0D">
      <w:pPr>
        <w:spacing w:after="0" w:line="240" w:lineRule="auto"/>
        <w:jc w:val="both"/>
        <w:rPr>
          <w:rFonts w:cstheme="minorHAnsi"/>
        </w:rPr>
      </w:pPr>
      <w:bookmarkStart w:id="9" w:name="_Hlk8727610"/>
      <w:r w:rsidRPr="000916FD">
        <w:rPr>
          <w:rFonts w:cstheme="minorHAnsi"/>
        </w:rPr>
        <w:t>To assess the UNC System laboratory schools, the Evaluation Team analyze</w:t>
      </w:r>
      <w:r w:rsidR="00456396">
        <w:rPr>
          <w:rFonts w:cstheme="minorHAnsi"/>
        </w:rPr>
        <w:t>d</w:t>
      </w:r>
      <w:r w:rsidRPr="000916FD">
        <w:rPr>
          <w:rFonts w:cstheme="minorHAnsi"/>
        </w:rPr>
        <w:t xml:space="preserve"> two types of qualitative data—laboratory school responses to annual status reports</w:t>
      </w:r>
      <w:r w:rsidR="002875AE">
        <w:rPr>
          <w:rFonts w:cstheme="minorHAnsi"/>
        </w:rPr>
        <w:t xml:space="preserve"> and interview transcripts</w:t>
      </w:r>
      <w:r w:rsidR="00A44D7B">
        <w:rPr>
          <w:rFonts w:cstheme="minorHAnsi"/>
        </w:rPr>
        <w:t xml:space="preserve">—collected in April </w:t>
      </w:r>
      <w:r w:rsidR="002875AE">
        <w:rPr>
          <w:rFonts w:cstheme="minorHAnsi"/>
        </w:rPr>
        <w:t xml:space="preserve">and May </w:t>
      </w:r>
      <w:r w:rsidR="00A44D7B">
        <w:rPr>
          <w:rFonts w:cstheme="minorHAnsi"/>
        </w:rPr>
        <w:t>20</w:t>
      </w:r>
      <w:r w:rsidR="002875AE">
        <w:rPr>
          <w:rFonts w:cstheme="minorHAnsi"/>
        </w:rPr>
        <w:t>20</w:t>
      </w:r>
      <w:r w:rsidRPr="000916FD">
        <w:rPr>
          <w:rFonts w:cstheme="minorHAnsi"/>
        </w:rPr>
        <w:t xml:space="preserve">. </w:t>
      </w:r>
    </w:p>
    <w:p w14:paraId="29EC1A96" w14:textId="77777777" w:rsidR="009E3F0D" w:rsidRPr="000916FD" w:rsidRDefault="009E3F0D" w:rsidP="009E3F0D">
      <w:pPr>
        <w:spacing w:after="0" w:line="240" w:lineRule="auto"/>
        <w:jc w:val="both"/>
        <w:rPr>
          <w:rFonts w:cstheme="minorHAnsi"/>
        </w:rPr>
      </w:pPr>
    </w:p>
    <w:bookmarkEnd w:id="6"/>
    <w:p w14:paraId="02F2E5D6" w14:textId="12C50BE7" w:rsidR="009249D1" w:rsidRPr="000916FD" w:rsidRDefault="00E21CA8" w:rsidP="003555E2">
      <w:pPr>
        <w:spacing w:after="0" w:line="240" w:lineRule="auto"/>
        <w:jc w:val="both"/>
        <w:rPr>
          <w:rFonts w:cstheme="minorHAnsi"/>
        </w:rPr>
      </w:pPr>
      <w:r>
        <w:rPr>
          <w:rFonts w:cstheme="minorHAnsi"/>
        </w:rPr>
        <w:t xml:space="preserve">The Evaluation Team used </w:t>
      </w:r>
      <w:r w:rsidR="001326EF">
        <w:rPr>
          <w:rFonts w:cstheme="minorHAnsi"/>
        </w:rPr>
        <w:t>two</w:t>
      </w:r>
      <w:r>
        <w:rPr>
          <w:rFonts w:cstheme="minorHAnsi"/>
        </w:rPr>
        <w:t xml:space="preserve"> </w:t>
      </w:r>
      <w:r w:rsidR="009E1D15">
        <w:rPr>
          <w:rFonts w:cstheme="minorHAnsi"/>
        </w:rPr>
        <w:t xml:space="preserve">template </w:t>
      </w:r>
      <w:r>
        <w:rPr>
          <w:rFonts w:cstheme="minorHAnsi"/>
        </w:rPr>
        <w:t>report</w:t>
      </w:r>
      <w:r w:rsidR="009E1D15">
        <w:rPr>
          <w:rFonts w:cstheme="minorHAnsi"/>
        </w:rPr>
        <w:t>ing</w:t>
      </w:r>
      <w:r>
        <w:rPr>
          <w:rFonts w:cstheme="minorHAnsi"/>
        </w:rPr>
        <w:t xml:space="preserve"> form</w:t>
      </w:r>
      <w:r w:rsidR="001326EF">
        <w:rPr>
          <w:rFonts w:cstheme="minorHAnsi"/>
        </w:rPr>
        <w:t>s</w:t>
      </w:r>
      <w:r>
        <w:rPr>
          <w:rFonts w:cstheme="minorHAnsi"/>
        </w:rPr>
        <w:t xml:space="preserve"> to collect information from </w:t>
      </w:r>
      <w:r w:rsidR="00A44D7B">
        <w:rPr>
          <w:rFonts w:cstheme="minorHAnsi"/>
        </w:rPr>
        <w:t xml:space="preserve">laboratory </w:t>
      </w:r>
      <w:r>
        <w:rPr>
          <w:rFonts w:cstheme="minorHAnsi"/>
        </w:rPr>
        <w:t>schools</w:t>
      </w:r>
      <w:r w:rsidR="001326EF">
        <w:rPr>
          <w:rFonts w:cstheme="minorHAnsi"/>
        </w:rPr>
        <w:t>, one for schools</w:t>
      </w:r>
      <w:r>
        <w:rPr>
          <w:rFonts w:cstheme="minorHAnsi"/>
        </w:rPr>
        <w:t xml:space="preserve"> in their second </w:t>
      </w:r>
      <w:r w:rsidR="002875AE">
        <w:rPr>
          <w:rFonts w:cstheme="minorHAnsi"/>
        </w:rPr>
        <w:t xml:space="preserve">or subsequent </w:t>
      </w:r>
      <w:r>
        <w:rPr>
          <w:rFonts w:cstheme="minorHAnsi"/>
        </w:rPr>
        <w:t>year of operation</w:t>
      </w:r>
      <w:r w:rsidR="00A44D7B">
        <w:rPr>
          <w:rFonts w:cstheme="minorHAnsi"/>
        </w:rPr>
        <w:t>—</w:t>
      </w:r>
      <w:r w:rsidR="00337EB5">
        <w:rPr>
          <w:rFonts w:cstheme="minorHAnsi"/>
        </w:rPr>
        <w:t xml:space="preserve">those run by </w:t>
      </w:r>
      <w:r w:rsidR="00A44D7B">
        <w:rPr>
          <w:rFonts w:cstheme="minorHAnsi"/>
        </w:rPr>
        <w:t>ECU</w:t>
      </w:r>
      <w:r w:rsidR="002875AE">
        <w:rPr>
          <w:rFonts w:cstheme="minorHAnsi"/>
        </w:rPr>
        <w:t xml:space="preserve">, </w:t>
      </w:r>
      <w:r w:rsidR="00A44D7B">
        <w:rPr>
          <w:rFonts w:cstheme="minorHAnsi"/>
        </w:rPr>
        <w:t xml:space="preserve"> WCU</w:t>
      </w:r>
      <w:r w:rsidR="002875AE">
        <w:rPr>
          <w:rFonts w:cstheme="minorHAnsi"/>
        </w:rPr>
        <w:t>, UNCG, UNCW, and Appalachian State</w:t>
      </w:r>
      <w:r w:rsidR="001326EF">
        <w:rPr>
          <w:rFonts w:cstheme="minorHAnsi"/>
        </w:rPr>
        <w:t xml:space="preserve">—and another for new </w:t>
      </w:r>
      <w:r w:rsidR="002875AE">
        <w:rPr>
          <w:rFonts w:cstheme="minorHAnsi"/>
        </w:rPr>
        <w:t>laboratory schools</w:t>
      </w:r>
      <w:r w:rsidR="001326EF">
        <w:rPr>
          <w:rFonts w:cstheme="minorHAnsi"/>
        </w:rPr>
        <w:t>—UNCC—</w:t>
      </w:r>
      <w:r w:rsidR="003555E2">
        <w:rPr>
          <w:rFonts w:cstheme="minorHAnsi"/>
        </w:rPr>
        <w:t>regarding activities undertaken</w:t>
      </w:r>
      <w:r w:rsidR="002875AE">
        <w:rPr>
          <w:rFonts w:cstheme="minorHAnsi"/>
        </w:rPr>
        <w:t xml:space="preserve"> in</w:t>
      </w:r>
      <w:r w:rsidR="003555E2">
        <w:rPr>
          <w:rFonts w:cstheme="minorHAnsi"/>
        </w:rPr>
        <w:t xml:space="preserve"> </w:t>
      </w:r>
      <w:r w:rsidR="002875AE">
        <w:rPr>
          <w:rFonts w:cstheme="minorHAnsi"/>
        </w:rPr>
        <w:t>their last planning year</w:t>
      </w:r>
      <w:r w:rsidR="00A01F7D">
        <w:rPr>
          <w:rFonts w:cstheme="minorHAnsi"/>
        </w:rPr>
        <w:t>.</w:t>
      </w:r>
      <w:r w:rsidR="00A44D7B">
        <w:rPr>
          <w:rFonts w:cstheme="minorHAnsi"/>
        </w:rPr>
        <w:t xml:space="preserve"> </w:t>
      </w:r>
      <w:r w:rsidR="00551136">
        <w:rPr>
          <w:rFonts w:cstheme="minorHAnsi"/>
        </w:rPr>
        <w:t>(</w:t>
      </w:r>
      <w:r w:rsidR="00A44D7B">
        <w:rPr>
          <w:rFonts w:cstheme="minorHAnsi"/>
        </w:rPr>
        <w:t xml:space="preserve">See Appendix </w:t>
      </w:r>
      <w:r w:rsidR="00E335F6">
        <w:rPr>
          <w:rFonts w:cstheme="minorHAnsi"/>
        </w:rPr>
        <w:t>A2</w:t>
      </w:r>
      <w:r w:rsidR="00A44D7B">
        <w:rPr>
          <w:rFonts w:cstheme="minorHAnsi"/>
        </w:rPr>
        <w:t xml:space="preserve"> for further detail on the annual status reports.</w:t>
      </w:r>
      <w:r w:rsidR="00551136">
        <w:rPr>
          <w:rFonts w:cstheme="minorHAnsi"/>
        </w:rPr>
        <w:t>)</w:t>
      </w:r>
      <w:r w:rsidR="00A01F7D">
        <w:rPr>
          <w:rFonts w:cstheme="minorHAnsi"/>
        </w:rPr>
        <w:t xml:space="preserve"> In addition, the Evaluation Team conducted interviews with laboratory school principals and UNC System COE leaders to learn about laboratory school responses to C</w:t>
      </w:r>
      <w:r w:rsidR="00E335F6">
        <w:rPr>
          <w:rFonts w:cstheme="minorHAnsi"/>
        </w:rPr>
        <w:t>OVID</w:t>
      </w:r>
      <w:r w:rsidR="00A01F7D">
        <w:rPr>
          <w:rFonts w:cstheme="minorHAnsi"/>
        </w:rPr>
        <w:t xml:space="preserve">-19. (See Appendix </w:t>
      </w:r>
      <w:r w:rsidR="00E335F6">
        <w:rPr>
          <w:rFonts w:cstheme="minorHAnsi"/>
        </w:rPr>
        <w:t>A2 and A3</w:t>
      </w:r>
      <w:r w:rsidR="00A01F7D">
        <w:rPr>
          <w:rFonts w:cstheme="minorHAnsi"/>
        </w:rPr>
        <w:t xml:space="preserve"> for further detail on the interview protocols and analys</w:t>
      </w:r>
      <w:r w:rsidR="009619D8">
        <w:rPr>
          <w:rFonts w:cstheme="minorHAnsi"/>
        </w:rPr>
        <w:t>e</w:t>
      </w:r>
      <w:r w:rsidR="00A01F7D">
        <w:rPr>
          <w:rFonts w:cstheme="minorHAnsi"/>
        </w:rPr>
        <w:t>s of interview inputs.)</w:t>
      </w:r>
    </w:p>
    <w:p w14:paraId="6DBE872D" w14:textId="77777777" w:rsidR="009249D1" w:rsidRPr="000916FD" w:rsidRDefault="009249D1" w:rsidP="009249D1">
      <w:pPr>
        <w:spacing w:after="0" w:line="240" w:lineRule="auto"/>
        <w:jc w:val="both"/>
        <w:rPr>
          <w:rFonts w:cstheme="minorHAnsi"/>
        </w:rPr>
      </w:pPr>
    </w:p>
    <w:p w14:paraId="641DF7DF" w14:textId="4BB2DC3D" w:rsidR="00B67083" w:rsidRPr="000916FD" w:rsidRDefault="00D052FB" w:rsidP="00EB0C81">
      <w:pPr>
        <w:pStyle w:val="Heading2"/>
        <w:spacing w:before="0" w:after="0" w:line="240" w:lineRule="auto"/>
        <w:rPr>
          <w:rFonts w:cstheme="minorHAnsi"/>
          <w:sz w:val="22"/>
          <w:szCs w:val="22"/>
        </w:rPr>
      </w:pPr>
      <w:bookmarkStart w:id="10" w:name="_Toc521786832"/>
      <w:r w:rsidRPr="000916FD">
        <w:rPr>
          <w:rFonts w:cstheme="minorHAnsi"/>
          <w:sz w:val="22"/>
          <w:szCs w:val="22"/>
        </w:rPr>
        <w:t xml:space="preserve">Quantitative </w:t>
      </w:r>
      <w:r w:rsidR="009249D1" w:rsidRPr="000916FD">
        <w:rPr>
          <w:rFonts w:cstheme="minorHAnsi"/>
          <w:sz w:val="22"/>
          <w:szCs w:val="22"/>
        </w:rPr>
        <w:t>data analys</w:t>
      </w:r>
      <w:r w:rsidRPr="000916FD">
        <w:rPr>
          <w:rFonts w:cstheme="minorHAnsi"/>
          <w:sz w:val="22"/>
          <w:szCs w:val="22"/>
        </w:rPr>
        <w:t>es</w:t>
      </w:r>
      <w:bookmarkEnd w:id="10"/>
    </w:p>
    <w:p w14:paraId="3B3B34E4" w14:textId="77777777" w:rsidR="00EB0C81" w:rsidRPr="000916FD" w:rsidRDefault="00EB0C81" w:rsidP="00C0128C">
      <w:pPr>
        <w:spacing w:after="0" w:line="240" w:lineRule="auto"/>
        <w:jc w:val="both"/>
        <w:rPr>
          <w:rFonts w:cstheme="minorHAnsi"/>
        </w:rPr>
      </w:pPr>
    </w:p>
    <w:p w14:paraId="0D75B679" w14:textId="3E747228" w:rsidR="00C04A99" w:rsidRPr="000916FD" w:rsidRDefault="00B67083" w:rsidP="00B16929">
      <w:pPr>
        <w:spacing w:after="0" w:line="240" w:lineRule="auto"/>
        <w:jc w:val="both"/>
        <w:rPr>
          <w:rFonts w:cstheme="minorHAnsi"/>
        </w:rPr>
      </w:pPr>
      <w:r w:rsidRPr="000916FD">
        <w:rPr>
          <w:rFonts w:cstheme="minorHAnsi"/>
        </w:rPr>
        <w:t xml:space="preserve">The </w:t>
      </w:r>
      <w:r w:rsidR="00337EB5">
        <w:rPr>
          <w:rFonts w:cstheme="minorHAnsi"/>
        </w:rPr>
        <w:t>E</w:t>
      </w:r>
      <w:r w:rsidR="00337EB5" w:rsidRPr="000916FD">
        <w:rPr>
          <w:rFonts w:cstheme="minorHAnsi"/>
        </w:rPr>
        <w:t xml:space="preserve">valuation </w:t>
      </w:r>
      <w:r w:rsidR="00337EB5">
        <w:rPr>
          <w:rFonts w:cstheme="minorHAnsi"/>
        </w:rPr>
        <w:t xml:space="preserve">Team used </w:t>
      </w:r>
      <w:r w:rsidRPr="000916FD">
        <w:rPr>
          <w:rFonts w:cstheme="minorHAnsi"/>
        </w:rPr>
        <w:t xml:space="preserve">quantitative data </w:t>
      </w:r>
      <w:r w:rsidR="006500F5" w:rsidRPr="000916FD">
        <w:rPr>
          <w:rFonts w:cstheme="minorHAnsi"/>
        </w:rPr>
        <w:t xml:space="preserve">from </w:t>
      </w:r>
      <w:r w:rsidRPr="000916FD">
        <w:rPr>
          <w:rFonts w:cstheme="minorHAnsi"/>
        </w:rPr>
        <w:t>a host of sources</w:t>
      </w:r>
      <w:r w:rsidR="002554CB">
        <w:rPr>
          <w:rFonts w:cstheme="minorHAnsi"/>
        </w:rPr>
        <w:t xml:space="preserve"> </w:t>
      </w:r>
      <w:r w:rsidR="00337EB5">
        <w:rPr>
          <w:rFonts w:cstheme="minorHAnsi"/>
        </w:rPr>
        <w:t xml:space="preserve">to </w:t>
      </w:r>
      <w:r w:rsidR="009F50DA" w:rsidRPr="000916FD">
        <w:rPr>
          <w:rFonts w:cstheme="minorHAnsi"/>
        </w:rPr>
        <w:t xml:space="preserve">assess whether laboratory schools improve students’ academic performance, engagement with school, and </w:t>
      </w:r>
      <w:r w:rsidR="003B0C03" w:rsidRPr="000916FD">
        <w:rPr>
          <w:rFonts w:cstheme="minorHAnsi"/>
        </w:rPr>
        <w:t>social-emotional</w:t>
      </w:r>
      <w:r w:rsidR="009F50DA" w:rsidRPr="000916FD">
        <w:rPr>
          <w:rFonts w:cstheme="minorHAnsi"/>
        </w:rPr>
        <w:t xml:space="preserve"> outcomes</w:t>
      </w:r>
      <w:r w:rsidR="006500F5" w:rsidRPr="000916FD">
        <w:rPr>
          <w:rFonts w:cstheme="minorHAnsi"/>
        </w:rPr>
        <w:t xml:space="preserve">; whether laboratory schools are successfully marketed and managed; and </w:t>
      </w:r>
      <w:r w:rsidR="00DA0E9D" w:rsidRPr="000916FD">
        <w:rPr>
          <w:rFonts w:cstheme="minorHAnsi"/>
        </w:rPr>
        <w:t>whether pre-service experiences in a laboratory school (</w:t>
      </w:r>
      <w:r w:rsidR="00F3490E" w:rsidRPr="000916FD">
        <w:rPr>
          <w:rFonts w:cstheme="minorHAnsi"/>
        </w:rPr>
        <w:t>e.g.,</w:t>
      </w:r>
      <w:r w:rsidR="00DA0E9D" w:rsidRPr="000916FD">
        <w:rPr>
          <w:rFonts w:cstheme="minorHAnsi"/>
        </w:rPr>
        <w:t xml:space="preserve"> student teaching) influence early-care</w:t>
      </w:r>
      <w:r w:rsidR="003B0C03" w:rsidRPr="000916FD">
        <w:rPr>
          <w:rFonts w:cstheme="minorHAnsi"/>
        </w:rPr>
        <w:t>er educators</w:t>
      </w:r>
      <w:r w:rsidR="00DA0E9D" w:rsidRPr="000916FD">
        <w:rPr>
          <w:rFonts w:cstheme="minorHAnsi"/>
        </w:rPr>
        <w:t xml:space="preserve">. </w:t>
      </w:r>
      <w:r w:rsidR="00337EB5">
        <w:rPr>
          <w:rFonts w:cstheme="minorHAnsi"/>
        </w:rPr>
        <w:t xml:space="preserve">See Appendix </w:t>
      </w:r>
      <w:r w:rsidR="001226EC">
        <w:rPr>
          <w:rFonts w:cstheme="minorHAnsi"/>
        </w:rPr>
        <w:t>A</w:t>
      </w:r>
      <w:r w:rsidR="00E335F6">
        <w:rPr>
          <w:rFonts w:cstheme="minorHAnsi"/>
        </w:rPr>
        <w:t>3</w:t>
      </w:r>
      <w:r w:rsidR="00337EB5">
        <w:rPr>
          <w:rFonts w:cstheme="minorHAnsi"/>
        </w:rPr>
        <w:t xml:space="preserve"> for further detail on quantitative data analyses.</w:t>
      </w:r>
    </w:p>
    <w:p w14:paraId="30457C7C" w14:textId="77777777" w:rsidR="00257EF8" w:rsidRDefault="00257EF8" w:rsidP="00EB0C81">
      <w:pPr>
        <w:pStyle w:val="Heading1"/>
        <w:spacing w:before="0" w:after="0" w:line="240" w:lineRule="auto"/>
        <w:rPr>
          <w:rFonts w:asciiTheme="minorHAnsi" w:hAnsiTheme="minorHAnsi" w:cstheme="minorHAnsi"/>
          <w:sz w:val="22"/>
          <w:szCs w:val="22"/>
        </w:rPr>
      </w:pPr>
      <w:bookmarkStart w:id="11" w:name="_Toc521786833"/>
      <w:bookmarkEnd w:id="1"/>
      <w:bookmarkEnd w:id="9"/>
    </w:p>
    <w:p w14:paraId="4A5591ED" w14:textId="77777777" w:rsidR="003A23F3" w:rsidRPr="00B16929" w:rsidRDefault="003A23F3" w:rsidP="007336EA">
      <w:pPr>
        <w:rPr>
          <w:b/>
          <w:sz w:val="28"/>
          <w:szCs w:val="28"/>
        </w:rPr>
      </w:pPr>
      <w:bookmarkStart w:id="12" w:name="_Toc521786851"/>
      <w:bookmarkEnd w:id="11"/>
      <w:r w:rsidRPr="00B16929">
        <w:rPr>
          <w:b/>
          <w:sz w:val="28"/>
          <w:szCs w:val="28"/>
        </w:rPr>
        <w:t>Findings</w:t>
      </w:r>
    </w:p>
    <w:p w14:paraId="27CED158" w14:textId="03A29401" w:rsidR="00560F6F" w:rsidRDefault="004A02A8" w:rsidP="00D06E5B">
      <w:pPr>
        <w:spacing w:after="0" w:line="240" w:lineRule="auto"/>
        <w:jc w:val="both"/>
      </w:pPr>
      <w:r>
        <w:t xml:space="preserve">The following </w:t>
      </w:r>
      <w:r w:rsidR="00CA79F4">
        <w:t>sections address</w:t>
      </w:r>
      <w:r>
        <w:t xml:space="preserve"> each of the evaluation questions recognizing that: </w:t>
      </w:r>
      <w:r w:rsidR="00560F6F">
        <w:t>(</w:t>
      </w:r>
      <w:r>
        <w:t xml:space="preserve">1) laboratory schools are designed to serve the unique needs of the communities they serve; </w:t>
      </w:r>
      <w:r w:rsidR="00560F6F">
        <w:t>(</w:t>
      </w:r>
      <w:r>
        <w:t xml:space="preserve">2) each laboratory school reflects the </w:t>
      </w:r>
      <w:r w:rsidR="00803BE4">
        <w:t>uniqueness</w:t>
      </w:r>
      <w:r w:rsidR="002F1011">
        <w:t xml:space="preserve"> of the UNC System institution that operates it; and </w:t>
      </w:r>
      <w:r w:rsidR="00560F6F">
        <w:t>(</w:t>
      </w:r>
      <w:r w:rsidR="002F1011">
        <w:t>3)</w:t>
      </w:r>
      <w:r w:rsidR="00D06E5B">
        <w:t xml:space="preserve"> laboratory schools have been open for a short period of time—</w:t>
      </w:r>
      <w:r w:rsidR="00B34965">
        <w:t xml:space="preserve">two </w:t>
      </w:r>
      <w:r w:rsidR="00D06E5B">
        <w:t>full year</w:t>
      </w:r>
      <w:r w:rsidR="00B34965">
        <w:t>s</w:t>
      </w:r>
      <w:r w:rsidR="00D06E5B">
        <w:t xml:space="preserve"> for </w:t>
      </w:r>
      <w:r w:rsidR="00560F6F">
        <w:t>the</w:t>
      </w:r>
      <w:r w:rsidR="00F721B9">
        <w:t xml:space="preserve"> Academy at Middle Fork (Appalachian State)</w:t>
      </w:r>
      <w:r w:rsidR="00560F6F">
        <w:t>, Moss Street Partnership School</w:t>
      </w:r>
      <w:r w:rsidR="003555E2">
        <w:t xml:space="preserve"> (UNCG)</w:t>
      </w:r>
      <w:r w:rsidR="00560F6F">
        <w:t>, and D.C. Virgo Preparatory Academy</w:t>
      </w:r>
      <w:r w:rsidR="003555E2">
        <w:t xml:space="preserve"> (UNCW)</w:t>
      </w:r>
      <w:r w:rsidR="00560F6F">
        <w:t xml:space="preserve"> and </w:t>
      </w:r>
      <w:r w:rsidR="00B34965">
        <w:t>three</w:t>
      </w:r>
      <w:r w:rsidR="00560F6F">
        <w:t xml:space="preserve"> full years for the ECU Community School and The Catamount School</w:t>
      </w:r>
      <w:r w:rsidR="003555E2">
        <w:t xml:space="preserve"> (WCU). Niner University Elementary School (UNCC) </w:t>
      </w:r>
      <w:r w:rsidR="004D0728">
        <w:t>opened in August 2020.</w:t>
      </w:r>
    </w:p>
    <w:p w14:paraId="522F15C8" w14:textId="77777777" w:rsidR="00D06E5B" w:rsidRDefault="00D06E5B" w:rsidP="00D06E5B">
      <w:pPr>
        <w:spacing w:after="0" w:line="240" w:lineRule="auto"/>
        <w:jc w:val="both"/>
      </w:pPr>
    </w:p>
    <w:p w14:paraId="60AEAE15" w14:textId="16C7C076" w:rsidR="004D0728" w:rsidRDefault="00560F6F" w:rsidP="004D0728">
      <w:pPr>
        <w:spacing w:after="0" w:line="240" w:lineRule="auto"/>
        <w:jc w:val="both"/>
      </w:pPr>
      <w:bookmarkStart w:id="13" w:name="_Hlk10500255"/>
      <w:r>
        <w:t>T</w:t>
      </w:r>
      <w:r w:rsidR="009C47FB" w:rsidRPr="004121FF">
        <w:t>his report highlight</w:t>
      </w:r>
      <w:r w:rsidR="003A6448" w:rsidRPr="004121FF">
        <w:t>s</w:t>
      </w:r>
      <w:r w:rsidR="009C47FB" w:rsidRPr="004121FF">
        <w:t xml:space="preserve"> common </w:t>
      </w:r>
      <w:r>
        <w:t xml:space="preserve">laboratory school </w:t>
      </w:r>
      <w:r w:rsidR="009C47FB" w:rsidRPr="004121FF">
        <w:t>features and implementation experiences</w:t>
      </w:r>
      <w:r w:rsidR="004121FF" w:rsidRPr="004121FF">
        <w:t xml:space="preserve"> arising from the laboratory school model</w:t>
      </w:r>
      <w:r w:rsidR="009C47FB" w:rsidRPr="004121FF">
        <w:t>.</w:t>
      </w:r>
      <w:r w:rsidR="009C47FB">
        <w:t xml:space="preserve"> </w:t>
      </w:r>
      <w:r w:rsidR="00F42CA2">
        <w:t>A</w:t>
      </w:r>
      <w:r w:rsidR="003A6448">
        <w:t>s appropriate, this report</w:t>
      </w:r>
      <w:r w:rsidR="00F42CA2">
        <w:t xml:space="preserve"> also</w:t>
      </w:r>
      <w:r w:rsidR="003A6448">
        <w:t xml:space="preserve"> highlights the ways that individual laboratory schools </w:t>
      </w:r>
      <w:r w:rsidR="007D1F9F">
        <w:t xml:space="preserve">have implemented unique practices and includes brief snapshots of each laboratory school in Appendix </w:t>
      </w:r>
      <w:r w:rsidR="00CA79F4">
        <w:t>A4</w:t>
      </w:r>
      <w:r w:rsidR="007D1F9F">
        <w:t xml:space="preserve">. </w:t>
      </w:r>
      <w:r w:rsidR="00A16751">
        <w:t>As related to implementation</w:t>
      </w:r>
      <w:r w:rsidR="009A083E">
        <w:t>, this</w:t>
      </w:r>
      <w:r w:rsidR="00106A70">
        <w:t xml:space="preserve"> report </w:t>
      </w:r>
      <w:r w:rsidR="00A16751">
        <w:t xml:space="preserve">also </w:t>
      </w:r>
      <w:r w:rsidR="00106A70">
        <w:t xml:space="preserve">distinguishes </w:t>
      </w:r>
      <w:r w:rsidR="00CD657C">
        <w:t xml:space="preserve">differences among </w:t>
      </w:r>
      <w:r w:rsidR="00106A70">
        <w:t>laboratory schools that opened in</w:t>
      </w:r>
      <w:r w:rsidR="00142918">
        <w:t xml:space="preserve"> 2017-18, 2018-19, and 2020-21. Further</w:t>
      </w:r>
      <w:r w:rsidR="004D0728">
        <w:t>, this report acknowledges the unique circumstances of the 2019-20 school year</w:t>
      </w:r>
      <w:r w:rsidR="00142918">
        <w:t>,</w:t>
      </w:r>
      <w:r w:rsidR="004D0728">
        <w:t xml:space="preserve"> </w:t>
      </w:r>
      <w:r w:rsidR="000175AF">
        <w:t xml:space="preserve">which </w:t>
      </w:r>
      <w:r w:rsidR="004D0728">
        <w:t xml:space="preserve">concluded with schools statewide </w:t>
      </w:r>
      <w:r w:rsidR="00142918">
        <w:t xml:space="preserve">providing remote learning for homebound students due to the COVID-19 pandemic. </w:t>
      </w:r>
      <w:r w:rsidR="004D0728">
        <w:t xml:space="preserve">The </w:t>
      </w:r>
      <w:r w:rsidR="000175AF">
        <w:t xml:space="preserve">main report addresses laboratory schools’ operation from August 2019 to March 2020 while their </w:t>
      </w:r>
      <w:r w:rsidR="004D0728">
        <w:t>response to the C</w:t>
      </w:r>
      <w:r w:rsidR="00142918">
        <w:t>OVID</w:t>
      </w:r>
      <w:r w:rsidR="004D0728">
        <w:t xml:space="preserve">-19 pandemic is described in Appendix </w:t>
      </w:r>
      <w:r w:rsidR="00142918">
        <w:t>A1</w:t>
      </w:r>
      <w:r w:rsidR="004D0728">
        <w:t xml:space="preserve">. </w:t>
      </w:r>
    </w:p>
    <w:p w14:paraId="74B80696" w14:textId="77777777" w:rsidR="00D06E5B" w:rsidRDefault="00D06E5B" w:rsidP="00D06E5B">
      <w:pPr>
        <w:spacing w:after="0" w:line="240" w:lineRule="auto"/>
        <w:jc w:val="both"/>
      </w:pPr>
    </w:p>
    <w:bookmarkEnd w:id="13"/>
    <w:p w14:paraId="1B6BA7C0" w14:textId="7C6364CF" w:rsidR="003A23F3" w:rsidRPr="00B16929" w:rsidRDefault="003A23F3" w:rsidP="001A0821">
      <w:pPr>
        <w:keepNext/>
        <w:keepLines/>
        <w:spacing w:after="0" w:line="240" w:lineRule="auto"/>
        <w:jc w:val="both"/>
        <w:outlineLvl w:val="1"/>
        <w:rPr>
          <w:rFonts w:eastAsiaTheme="majorEastAsia" w:cstheme="minorHAnsi"/>
          <w:b/>
          <w:i/>
        </w:rPr>
      </w:pPr>
      <w:r w:rsidRPr="00B16929">
        <w:rPr>
          <w:rFonts w:eastAsiaTheme="majorEastAsia" w:cstheme="minorHAnsi"/>
          <w:b/>
          <w:i/>
        </w:rPr>
        <w:t xml:space="preserve">How have the UNC System and UNC System institutions set-up laboratory schools to succeed? </w:t>
      </w:r>
    </w:p>
    <w:p w14:paraId="0C0F29C6" w14:textId="77777777" w:rsidR="003A23F3" w:rsidRDefault="003A23F3" w:rsidP="003A23F3">
      <w:pPr>
        <w:spacing w:after="0" w:line="240" w:lineRule="auto"/>
        <w:jc w:val="both"/>
        <w:rPr>
          <w:rFonts w:cstheme="minorHAnsi"/>
        </w:rPr>
      </w:pPr>
    </w:p>
    <w:p w14:paraId="3CC24D2C" w14:textId="484D9C1D" w:rsidR="003A23F3" w:rsidRDefault="00B16929" w:rsidP="00D06E5B">
      <w:pPr>
        <w:spacing w:after="0" w:line="240" w:lineRule="auto"/>
        <w:jc w:val="both"/>
        <w:rPr>
          <w:rFonts w:cstheme="minorHAnsi"/>
        </w:rPr>
      </w:pPr>
      <w:r>
        <w:rPr>
          <w:rFonts w:cstheme="minorHAnsi"/>
        </w:rPr>
        <w:t xml:space="preserve">As </w:t>
      </w:r>
      <w:r w:rsidR="00E519EF">
        <w:rPr>
          <w:rFonts w:cstheme="minorHAnsi"/>
        </w:rPr>
        <w:t xml:space="preserve">the Evaluation Team </w:t>
      </w:r>
      <w:r>
        <w:rPr>
          <w:rFonts w:cstheme="minorHAnsi"/>
        </w:rPr>
        <w:t>reported in 2018, l</w:t>
      </w:r>
      <w:r w:rsidR="003A23F3" w:rsidRPr="000916FD">
        <w:rPr>
          <w:rFonts w:cstheme="minorHAnsi"/>
        </w:rPr>
        <w:t>eadership at the UNC System</w:t>
      </w:r>
      <w:r w:rsidR="00D10D0F">
        <w:rPr>
          <w:rFonts w:cstheme="minorHAnsi"/>
        </w:rPr>
        <w:t xml:space="preserve"> Office </w:t>
      </w:r>
      <w:r w:rsidR="003A23F3" w:rsidRPr="000916FD">
        <w:rPr>
          <w:rFonts w:cstheme="minorHAnsi"/>
        </w:rPr>
        <w:t xml:space="preserve">and leadership and personnel at UNC System institutions engaged in three sets of activities </w:t>
      </w:r>
      <w:r w:rsidR="00D10D0F">
        <w:rPr>
          <w:rFonts w:cstheme="minorHAnsi"/>
        </w:rPr>
        <w:t xml:space="preserve">to set up the inaugural laboratory </w:t>
      </w:r>
      <w:r w:rsidR="00D10D0F">
        <w:rPr>
          <w:rFonts w:cstheme="minorHAnsi"/>
        </w:rPr>
        <w:lastRenderedPageBreak/>
        <w:t xml:space="preserve">schools: </w:t>
      </w:r>
      <w:r w:rsidR="00281BA9">
        <w:rPr>
          <w:rFonts w:cstheme="minorHAnsi"/>
        </w:rPr>
        <w:t>(</w:t>
      </w:r>
      <w:r w:rsidR="003A23F3" w:rsidRPr="000916FD">
        <w:rPr>
          <w:rFonts w:cstheme="minorHAnsi"/>
        </w:rPr>
        <w:t xml:space="preserve">1) governance and implementation oversight; (2) laboratory school selection and approval; and (3) laboratory school planning and implementation. </w:t>
      </w:r>
    </w:p>
    <w:p w14:paraId="05176C53" w14:textId="78C3A1A6" w:rsidR="003A23F3" w:rsidRDefault="003A23F3" w:rsidP="00D06E5B">
      <w:pPr>
        <w:spacing w:after="0" w:line="240" w:lineRule="auto"/>
        <w:jc w:val="both"/>
        <w:rPr>
          <w:rFonts w:cstheme="minorHAnsi"/>
        </w:rPr>
      </w:pPr>
    </w:p>
    <w:p w14:paraId="435B4A1B" w14:textId="1E28C289" w:rsidR="005E38DD" w:rsidRDefault="005E38DD" w:rsidP="00D06E5B">
      <w:pPr>
        <w:spacing w:after="0" w:line="240" w:lineRule="auto"/>
        <w:jc w:val="both"/>
        <w:rPr>
          <w:rFonts w:cstheme="minorHAnsi"/>
        </w:rPr>
      </w:pPr>
      <w:r>
        <w:rPr>
          <w:rFonts w:cstheme="minorHAnsi"/>
        </w:rPr>
        <w:t xml:space="preserve">The UNC System now has four years of experience in launching and supporting the development of laboratory schools. </w:t>
      </w:r>
      <w:r w:rsidR="00CD657C">
        <w:rPr>
          <w:rFonts w:cstheme="minorHAnsi"/>
        </w:rPr>
        <w:t xml:space="preserve">Only one laboratory school, UNCC’s Niner University Elementary School, opened in 2020-21, three years since the first cohort of laboratory schools </w:t>
      </w:r>
      <w:r w:rsidR="002975F2">
        <w:rPr>
          <w:rFonts w:cstheme="minorHAnsi"/>
        </w:rPr>
        <w:t xml:space="preserve">launched and two years since the second cohort opened. </w:t>
      </w:r>
      <w:r>
        <w:rPr>
          <w:rFonts w:cstheme="minorHAnsi"/>
        </w:rPr>
        <w:t>Issues related to the school’s original location, including lower than expected enrollment, and concurrent changes in leadership at Charlotte-Mecklenburg Schools (UNCC’s district partner) and at the College of Education, led UNCC to postpone launching its laboratory school until the 2020-21 school year. The additional planning time allowed UNCC to identify a school site located in a community that better aligns with the statutory student eligibility criteria. The sections below describe the ways time and experience have influenced laboratory school governance and implementation.</w:t>
      </w:r>
    </w:p>
    <w:p w14:paraId="6F2EAD24" w14:textId="77777777" w:rsidR="005E38DD" w:rsidRDefault="005E38DD" w:rsidP="00D06E5B">
      <w:pPr>
        <w:spacing w:after="0" w:line="240" w:lineRule="auto"/>
        <w:jc w:val="both"/>
        <w:rPr>
          <w:rFonts w:cstheme="minorHAnsi"/>
        </w:rPr>
      </w:pPr>
    </w:p>
    <w:p w14:paraId="6CF66DD9" w14:textId="240161E1" w:rsidR="003A23F3" w:rsidRPr="002E290B" w:rsidRDefault="003A23F3" w:rsidP="003A23F3">
      <w:pPr>
        <w:rPr>
          <w:i/>
        </w:rPr>
      </w:pPr>
      <w:r w:rsidRPr="002E290B">
        <w:rPr>
          <w:i/>
        </w:rPr>
        <w:t>Governance and implementation oversight</w:t>
      </w:r>
    </w:p>
    <w:p w14:paraId="076B959D" w14:textId="33B2C967" w:rsidR="002212E5" w:rsidRDefault="00B960EB" w:rsidP="002212E5">
      <w:pPr>
        <w:spacing w:after="0" w:line="240" w:lineRule="auto"/>
        <w:jc w:val="both"/>
      </w:pPr>
      <w:r>
        <w:t>The l</w:t>
      </w:r>
      <w:r w:rsidR="003A23F3" w:rsidRPr="00F924C1">
        <w:t xml:space="preserve">egislation </w:t>
      </w:r>
      <w:r>
        <w:t xml:space="preserve">enabling laboratory schools </w:t>
      </w:r>
      <w:r w:rsidR="003A23F3" w:rsidRPr="00F924C1">
        <w:t xml:space="preserve">directs </w:t>
      </w:r>
      <w:r>
        <w:t xml:space="preserve">the </w:t>
      </w:r>
      <w:r w:rsidR="00F42CA2">
        <w:t xml:space="preserve">UNC </w:t>
      </w:r>
      <w:r>
        <w:t xml:space="preserve">Board of Governors Subcommittee on Laboratory Schools to </w:t>
      </w:r>
      <w:r w:rsidR="003A23F3" w:rsidRPr="00F924C1">
        <w:t xml:space="preserve">oversee </w:t>
      </w:r>
      <w:r w:rsidR="00213A53">
        <w:t xml:space="preserve">the establishment of </w:t>
      </w:r>
      <w:r w:rsidR="003A23F3" w:rsidRPr="00F924C1">
        <w:t>laboratory school</w:t>
      </w:r>
      <w:r w:rsidR="00213A53">
        <w:t>s.</w:t>
      </w:r>
      <w:r w:rsidR="00042366">
        <w:rPr>
          <w:rStyle w:val="FootnoteReference"/>
        </w:rPr>
        <w:footnoteReference w:id="13"/>
      </w:r>
      <w:r w:rsidR="00213A53">
        <w:t xml:space="preserve"> </w:t>
      </w:r>
      <w:r w:rsidR="002212E5">
        <w:t>The UNC System Office, which supplies administrative support for the UNC BOG, provides</w:t>
      </w:r>
      <w:r w:rsidR="00B20F95">
        <w:t xml:space="preserve"> the</w:t>
      </w:r>
      <w:r w:rsidR="002212E5">
        <w:t xml:space="preserve"> implementation and oversight support for laboratory schools. </w:t>
      </w:r>
    </w:p>
    <w:p w14:paraId="616ACA5F" w14:textId="77777777" w:rsidR="002212E5" w:rsidRDefault="002212E5" w:rsidP="002212E5">
      <w:pPr>
        <w:spacing w:after="0" w:line="240" w:lineRule="auto"/>
        <w:jc w:val="both"/>
      </w:pPr>
    </w:p>
    <w:p w14:paraId="51BB1180" w14:textId="6B9FC6E5" w:rsidR="0085378D" w:rsidRDefault="007C7D7C" w:rsidP="002212E5">
      <w:pPr>
        <w:spacing w:after="0" w:line="240" w:lineRule="auto"/>
        <w:jc w:val="both"/>
      </w:pPr>
      <w:r>
        <w:t>The enabling</w:t>
      </w:r>
      <w:r w:rsidR="00D32FE0">
        <w:t xml:space="preserve"> legislation also directs</w:t>
      </w:r>
      <w:r w:rsidR="0085378D">
        <w:t xml:space="preserve"> UNC</w:t>
      </w:r>
      <w:r w:rsidR="00D32FE0">
        <w:t xml:space="preserve"> System institution chancellors to oversee laboratory schools.</w:t>
      </w:r>
      <w:r w:rsidR="00042366">
        <w:rPr>
          <w:rStyle w:val="FootnoteReference"/>
        </w:rPr>
        <w:footnoteReference w:id="14"/>
      </w:r>
      <w:r w:rsidR="00D32FE0">
        <w:t xml:space="preserve"> Generally, chancellors have appointed </w:t>
      </w:r>
      <w:r w:rsidR="0085378D">
        <w:t>COE deans</w:t>
      </w:r>
      <w:r w:rsidR="00D32FE0">
        <w:t xml:space="preserve"> to lead laboratory school implementation</w:t>
      </w:r>
      <w:r w:rsidR="00211918">
        <w:t xml:space="preserve"> and deans have appointed a faculty or staff member to direct laboratory school planning and implementation activities.</w:t>
      </w:r>
      <w:r w:rsidR="004B34B4">
        <w:rPr>
          <w:rStyle w:val="FootnoteReference"/>
        </w:rPr>
        <w:footnoteReference w:id="15"/>
      </w:r>
      <w:r w:rsidR="00211918">
        <w:t xml:space="preserve"> Frequently, this faculty or staff member plays a co-director or co-principal role at the laboratory school.</w:t>
      </w:r>
    </w:p>
    <w:p w14:paraId="5FF30CF4" w14:textId="592B61E2" w:rsidR="00084835" w:rsidRDefault="00084835" w:rsidP="002212E5">
      <w:pPr>
        <w:spacing w:after="0" w:line="240" w:lineRule="auto"/>
        <w:jc w:val="both"/>
      </w:pPr>
    </w:p>
    <w:p w14:paraId="370402E7" w14:textId="7BD51E72" w:rsidR="009B62B8" w:rsidRDefault="00263CCB" w:rsidP="002212E5">
      <w:pPr>
        <w:spacing w:after="0" w:line="240" w:lineRule="auto"/>
        <w:jc w:val="both"/>
      </w:pPr>
      <w:r>
        <w:t>In 2019-20, the UNC System Office created a full-time executive director position responsible for coordinating supports for laboratory schools</w:t>
      </w:r>
      <w:r w:rsidR="00C808F2">
        <w:t>.</w:t>
      </w:r>
      <w:r w:rsidR="00C808F2">
        <w:rPr>
          <w:rStyle w:val="FootnoteReference"/>
        </w:rPr>
        <w:footnoteReference w:id="16"/>
      </w:r>
      <w:r w:rsidR="00C808F2">
        <w:t xml:space="preserve"> </w:t>
      </w:r>
      <w:r w:rsidR="001E39A6">
        <w:t xml:space="preserve">The </w:t>
      </w:r>
      <w:r w:rsidR="00A67246">
        <w:t xml:space="preserve">executive </w:t>
      </w:r>
      <w:r w:rsidR="001E39A6">
        <w:t xml:space="preserve">director </w:t>
      </w:r>
      <w:r>
        <w:t>staff</w:t>
      </w:r>
      <w:r w:rsidR="001E39A6">
        <w:t>s</w:t>
      </w:r>
      <w:r>
        <w:t xml:space="preserve"> the UNC Board of Governor’s Subcommittee on Laboratory Schools</w:t>
      </w:r>
      <w:r w:rsidR="001E39A6">
        <w:t xml:space="preserve"> </w:t>
      </w:r>
      <w:r w:rsidR="00A67246">
        <w:t xml:space="preserve">that </w:t>
      </w:r>
      <w:r w:rsidR="001E39A6">
        <w:t xml:space="preserve">convenes </w:t>
      </w:r>
      <w:r w:rsidR="00C808F2">
        <w:t>two or three</w:t>
      </w:r>
      <w:r w:rsidR="001E39A6">
        <w:t xml:space="preserve"> times per year and conducts visits to laboratory schools between meetings. T</w:t>
      </w:r>
      <w:r>
        <w:t xml:space="preserve">he </w:t>
      </w:r>
      <w:r w:rsidR="00A67246">
        <w:t xml:space="preserve">executive </w:t>
      </w:r>
      <w:r>
        <w:t>director also regularly convenes principal</w:t>
      </w:r>
      <w:r w:rsidR="001E39A6">
        <w:t>s and COE deans or their designees who co-lead laboratory schools.</w:t>
      </w:r>
      <w:r w:rsidR="00014B36">
        <w:rPr>
          <w:rStyle w:val="FootnoteReference"/>
        </w:rPr>
        <w:footnoteReference w:id="17"/>
      </w:r>
      <w:r w:rsidR="001E39A6">
        <w:t xml:space="preserve"> </w:t>
      </w:r>
    </w:p>
    <w:p w14:paraId="2D66C901" w14:textId="77777777" w:rsidR="009B62B8" w:rsidRDefault="009B62B8" w:rsidP="002212E5">
      <w:pPr>
        <w:spacing w:after="0" w:line="240" w:lineRule="auto"/>
        <w:jc w:val="both"/>
      </w:pPr>
    </w:p>
    <w:p w14:paraId="576B812A" w14:textId="1ACA34EB" w:rsidR="009B62B8" w:rsidRDefault="001E39A6" w:rsidP="002212E5">
      <w:pPr>
        <w:spacing w:after="0" w:line="240" w:lineRule="auto"/>
        <w:jc w:val="both"/>
      </w:pPr>
      <w:r>
        <w:t>Other communities of practice</w:t>
      </w:r>
      <w:r w:rsidR="00D45959">
        <w:t xml:space="preserve"> comprising staff from system institutions with similar roles and responsibilities for laboratory schools</w:t>
      </w:r>
      <w:r w:rsidR="00B20F95">
        <w:t xml:space="preserve"> </w:t>
      </w:r>
      <w:r w:rsidR="00D45959">
        <w:t xml:space="preserve">also convene periodically. </w:t>
      </w:r>
      <w:r w:rsidR="002E28EE">
        <w:t xml:space="preserve">These communities of practice were </w:t>
      </w:r>
      <w:r w:rsidR="00620B61">
        <w:t>initially organized</w:t>
      </w:r>
      <w:r w:rsidR="00D45959">
        <w:t xml:space="preserve"> under the direction of the UNC System Office </w:t>
      </w:r>
      <w:r w:rsidR="002E28EE">
        <w:t xml:space="preserve">in the first year of the laboratory school initiative. They are now organized </w:t>
      </w:r>
      <w:r w:rsidR="00D45959">
        <w:t xml:space="preserve">informally </w:t>
      </w:r>
      <w:r w:rsidR="002E28EE">
        <w:t xml:space="preserve">by participants. </w:t>
      </w:r>
    </w:p>
    <w:p w14:paraId="084AF4B7" w14:textId="77777777" w:rsidR="009B62B8" w:rsidRDefault="009B62B8" w:rsidP="002212E5">
      <w:pPr>
        <w:spacing w:after="0" w:line="240" w:lineRule="auto"/>
        <w:jc w:val="both"/>
      </w:pPr>
    </w:p>
    <w:p w14:paraId="0ED751BE" w14:textId="62F384B9" w:rsidR="00263CCB" w:rsidRDefault="002E28EE" w:rsidP="002212E5">
      <w:pPr>
        <w:spacing w:after="0" w:line="240" w:lineRule="auto"/>
        <w:jc w:val="both"/>
      </w:pPr>
      <w:r>
        <w:t>T</w:t>
      </w:r>
      <w:r w:rsidR="009B62B8">
        <w:t xml:space="preserve">he </w:t>
      </w:r>
      <w:r>
        <w:t xml:space="preserve">system of supports that the UNC System has established </w:t>
      </w:r>
      <w:r w:rsidR="00FA22D4">
        <w:t>reflects the autonomy of individual</w:t>
      </w:r>
      <w:r w:rsidR="009B62B8">
        <w:t xml:space="preserve"> </w:t>
      </w:r>
      <w:r w:rsidR="00FA22D4">
        <w:t>s</w:t>
      </w:r>
      <w:r w:rsidR="009B62B8">
        <w:t>ystem institutions</w:t>
      </w:r>
      <w:r w:rsidR="00FA22D4">
        <w:t xml:space="preserve"> under the laboratory school legislation </w:t>
      </w:r>
      <w:r w:rsidR="00804252">
        <w:t>and</w:t>
      </w:r>
      <w:r w:rsidR="00FA22D4">
        <w:t xml:space="preserve"> within the UNC System. </w:t>
      </w:r>
      <w:r w:rsidR="00620B61">
        <w:t>Th</w:t>
      </w:r>
      <w:r w:rsidR="00FA22D4">
        <w:t xml:space="preserve">e system institutions, </w:t>
      </w:r>
      <w:r w:rsidR="00FA22D4">
        <w:lastRenderedPageBreak/>
        <w:t>and</w:t>
      </w:r>
      <w:r w:rsidR="00C44281">
        <w:t xml:space="preserve"> by extension</w:t>
      </w:r>
      <w:r w:rsidR="00FA22D4">
        <w:t xml:space="preserve"> their Colleges of Education and laboratory schools</w:t>
      </w:r>
      <w:r w:rsidR="00C44281">
        <w:t xml:space="preserve">, </w:t>
      </w:r>
      <w:r w:rsidR="009B62B8">
        <w:t>operate independently of one another</w:t>
      </w:r>
      <w:r w:rsidR="00B10F30">
        <w:t>. However,</w:t>
      </w:r>
      <w:r w:rsidR="00FA22D4">
        <w:t xml:space="preserve"> they</w:t>
      </w:r>
      <w:r w:rsidR="009B62B8">
        <w:t xml:space="preserve"> have common issues and challenges related to</w:t>
      </w:r>
      <w:r w:rsidR="00FA22D4">
        <w:t xml:space="preserve"> the </w:t>
      </w:r>
      <w:r w:rsidR="00FF4536">
        <w:t>operati</w:t>
      </w:r>
      <w:r w:rsidR="00FA22D4">
        <w:t xml:space="preserve">on of </w:t>
      </w:r>
      <w:r w:rsidR="00FF4536">
        <w:t>laboratory schools</w:t>
      </w:r>
      <w:r w:rsidR="00FA22D4">
        <w:t xml:space="preserve">. </w:t>
      </w:r>
      <w:r w:rsidR="00B10F30">
        <w:t xml:space="preserve">With limited authority </w:t>
      </w:r>
      <w:r w:rsidR="00C44281">
        <w:t>under the laboratory school legislation to govern the operation of laboratory schools, t</w:t>
      </w:r>
      <w:r w:rsidR="00FA22D4">
        <w:t>h</w:t>
      </w:r>
      <w:r w:rsidR="00C44281">
        <w:t xml:space="preserve">e </w:t>
      </w:r>
      <w:r w:rsidR="009B62B8">
        <w:t xml:space="preserve">UNC System </w:t>
      </w:r>
      <w:r w:rsidR="00FA22D4">
        <w:t xml:space="preserve">Office has </w:t>
      </w:r>
      <w:r w:rsidR="00C44281">
        <w:t>worked to</w:t>
      </w:r>
      <w:r w:rsidR="00FA22D4">
        <w:t xml:space="preserve"> provid</w:t>
      </w:r>
      <w:r w:rsidR="00C44281">
        <w:t>e</w:t>
      </w:r>
      <w:r w:rsidR="00FA22D4">
        <w:t xml:space="preserve"> a system of supports that encourages </w:t>
      </w:r>
      <w:r w:rsidR="009B62B8">
        <w:t>collective engag</w:t>
      </w:r>
      <w:r w:rsidR="00FA22D4">
        <w:t>ement</w:t>
      </w:r>
      <w:r w:rsidR="00C44281">
        <w:t>.</w:t>
      </w:r>
      <w:r w:rsidR="00FA22D4">
        <w:t xml:space="preserve"> </w:t>
      </w:r>
    </w:p>
    <w:p w14:paraId="258E4304" w14:textId="77777777" w:rsidR="005C6568" w:rsidRDefault="005C6568" w:rsidP="002212E5">
      <w:pPr>
        <w:spacing w:after="0" w:line="240" w:lineRule="auto"/>
        <w:jc w:val="both"/>
      </w:pPr>
    </w:p>
    <w:p w14:paraId="39456F51" w14:textId="67F346F5" w:rsidR="003A23F3" w:rsidRPr="00211918" w:rsidRDefault="003A23F3" w:rsidP="003A23F3">
      <w:pPr>
        <w:rPr>
          <w:i/>
        </w:rPr>
      </w:pPr>
      <w:r w:rsidRPr="00211918">
        <w:rPr>
          <w:i/>
        </w:rPr>
        <w:t>Laboratory school selection and approval</w:t>
      </w:r>
    </w:p>
    <w:p w14:paraId="1E7A0330" w14:textId="672D7766" w:rsidR="006E2C4F" w:rsidRDefault="003A23F3" w:rsidP="00455788">
      <w:pPr>
        <w:spacing w:after="0" w:line="240" w:lineRule="auto"/>
        <w:jc w:val="both"/>
      </w:pPr>
      <w:r>
        <w:t xml:space="preserve">The </w:t>
      </w:r>
      <w:r w:rsidR="00F33681">
        <w:t xml:space="preserve">six </w:t>
      </w:r>
      <w:r>
        <w:t xml:space="preserve">laboratory schools operating in </w:t>
      </w:r>
      <w:r w:rsidR="00F33A41">
        <w:t>20</w:t>
      </w:r>
      <w:r w:rsidR="00325508">
        <w:t>20</w:t>
      </w:r>
      <w:r>
        <w:t>-</w:t>
      </w:r>
      <w:r w:rsidR="00F33A41">
        <w:t>2</w:t>
      </w:r>
      <w:r w:rsidR="00325508">
        <w:t>1</w:t>
      </w:r>
      <w:r>
        <w:t xml:space="preserve"> were part of the group of UNC System institutions originally </w:t>
      </w:r>
      <w:r w:rsidRPr="006B4B02">
        <w:t xml:space="preserve">identified </w:t>
      </w:r>
      <w:r>
        <w:t>as well</w:t>
      </w:r>
      <w:r w:rsidR="00455788">
        <w:t>-</w:t>
      </w:r>
      <w:r>
        <w:t>s</w:t>
      </w:r>
      <w:r w:rsidRPr="006B4B02">
        <w:t xml:space="preserve">ituated to support a laboratory school. </w:t>
      </w:r>
      <w:r w:rsidR="00325508">
        <w:t>The UNC Board of Governors Subcommittee on Laboratory Schools approved ECU and WCU to</w:t>
      </w:r>
      <w:r w:rsidR="004166E8">
        <w:t xml:space="preserve"> create</w:t>
      </w:r>
      <w:r w:rsidR="00325508">
        <w:t xml:space="preserve"> laboratory schools in November 2016</w:t>
      </w:r>
      <w:r w:rsidR="004166E8">
        <w:t xml:space="preserve">. In </w:t>
      </w:r>
      <w:r w:rsidR="006E2C4F">
        <w:t>January 2018, the subcommittee approved Appalachian State, UNCG, and UNCW; in October 2018, the subcommittee approved UNCC.</w:t>
      </w:r>
    </w:p>
    <w:p w14:paraId="30796B5F" w14:textId="77777777" w:rsidR="00455788" w:rsidRDefault="00455788" w:rsidP="00455788">
      <w:pPr>
        <w:spacing w:after="0" w:line="240" w:lineRule="auto"/>
        <w:jc w:val="both"/>
      </w:pPr>
    </w:p>
    <w:p w14:paraId="4A91113B" w14:textId="6E60C3DE" w:rsidR="00B6181A" w:rsidRDefault="00906914" w:rsidP="00B6181A">
      <w:pPr>
        <w:spacing w:after="0" w:line="240" w:lineRule="auto"/>
        <w:jc w:val="both"/>
      </w:pPr>
      <w:r>
        <w:t xml:space="preserve">During the 2020 legislative session, the laboratory school enabling legislation was </w:t>
      </w:r>
      <w:r w:rsidR="007805CA">
        <w:t>amended to require that t</w:t>
      </w:r>
      <w:r>
        <w:t>he UNC Board of Governors</w:t>
      </w:r>
      <w:r w:rsidR="003343B9">
        <w:t xml:space="preserve"> </w:t>
      </w:r>
      <w:r w:rsidR="007805CA">
        <w:t>establish at least nine laboratory schools</w:t>
      </w:r>
      <w:r w:rsidR="00205DF4">
        <w:t>.</w:t>
      </w:r>
      <w:r w:rsidR="00EE0011">
        <w:rPr>
          <w:rStyle w:val="FootnoteReference"/>
        </w:rPr>
        <w:footnoteReference w:id="18"/>
      </w:r>
      <w:r w:rsidR="007805CA">
        <w:t xml:space="preserve"> </w:t>
      </w:r>
      <w:r w:rsidR="003343B9">
        <w:t xml:space="preserve">The change </w:t>
      </w:r>
      <w:r w:rsidR="008723C7">
        <w:t xml:space="preserve">also </w:t>
      </w:r>
      <w:r w:rsidR="003343B9">
        <w:t xml:space="preserve">allows a constituent institution to operate </w:t>
      </w:r>
      <w:r w:rsidR="00882736">
        <w:t xml:space="preserve">one or </w:t>
      </w:r>
      <w:r w:rsidR="003343B9">
        <w:t>more laboratory school</w:t>
      </w:r>
      <w:r w:rsidR="00882736">
        <w:t>s</w:t>
      </w:r>
      <w:r w:rsidR="003343B9">
        <w:t xml:space="preserve"> in one or more school districts meeting the</w:t>
      </w:r>
      <w:r w:rsidR="009956F6">
        <w:t xml:space="preserve"> </w:t>
      </w:r>
      <w:r w:rsidR="003343B9">
        <w:t xml:space="preserve">25 percent </w:t>
      </w:r>
      <w:r w:rsidR="003644E2">
        <w:t xml:space="preserve">low performing school </w:t>
      </w:r>
      <w:r w:rsidR="003343B9">
        <w:t xml:space="preserve">threshold </w:t>
      </w:r>
      <w:r w:rsidR="003644E2">
        <w:t>required for a laboratory school to open in the district.</w:t>
      </w:r>
      <w:r w:rsidR="005E6CC6">
        <w:rPr>
          <w:rStyle w:val="FootnoteReference"/>
        </w:rPr>
        <w:footnoteReference w:id="19"/>
      </w:r>
      <w:r w:rsidR="003644E2">
        <w:t xml:space="preserve"> </w:t>
      </w:r>
      <w:r w:rsidR="002837C9">
        <w:t>Another statutory change revised the timeline for opening laboratory schools.</w:t>
      </w:r>
      <w:r w:rsidR="00F8187E">
        <w:rPr>
          <w:rStyle w:val="FootnoteReference"/>
        </w:rPr>
        <w:footnoteReference w:id="20"/>
      </w:r>
      <w:r w:rsidR="002837C9">
        <w:t xml:space="preserve"> </w:t>
      </w:r>
      <w:r w:rsidR="00B6181A">
        <w:t xml:space="preserve">With six laboratory schools operating in the 2020-21 school year, the Board of Governors meets the current </w:t>
      </w:r>
      <w:r w:rsidR="007805CA">
        <w:t>statutory obligation</w:t>
      </w:r>
      <w:r w:rsidR="002837C9">
        <w:t>.</w:t>
      </w:r>
      <w:r w:rsidR="00142FDD">
        <w:rPr>
          <w:rStyle w:val="FootnoteReference"/>
        </w:rPr>
        <w:footnoteReference w:id="21"/>
      </w:r>
      <w:r w:rsidR="002837C9">
        <w:t xml:space="preserve"> </w:t>
      </w:r>
      <w:r w:rsidR="00B6181A">
        <w:t>Three additional laboratory schools must open by the beginning of the 2022-23 school year.</w:t>
      </w:r>
      <w:r w:rsidR="00B6181A">
        <w:rPr>
          <w:rStyle w:val="FootnoteReference"/>
        </w:rPr>
        <w:footnoteReference w:id="22"/>
      </w:r>
    </w:p>
    <w:p w14:paraId="7F756C4E" w14:textId="77777777" w:rsidR="00B6181A" w:rsidRDefault="00B6181A" w:rsidP="00B6181A">
      <w:pPr>
        <w:spacing w:after="0" w:line="240" w:lineRule="auto"/>
        <w:jc w:val="both"/>
      </w:pPr>
    </w:p>
    <w:p w14:paraId="5D2AB415" w14:textId="1B4402E0" w:rsidR="003A23F3" w:rsidRPr="00B17C9E" w:rsidRDefault="00B17C9E" w:rsidP="003A23F3">
      <w:pPr>
        <w:rPr>
          <w:i/>
        </w:rPr>
      </w:pPr>
      <w:r w:rsidRPr="00B17C9E">
        <w:rPr>
          <w:i/>
        </w:rPr>
        <w:t>L</w:t>
      </w:r>
      <w:r w:rsidR="003A23F3" w:rsidRPr="00B17C9E">
        <w:rPr>
          <w:i/>
        </w:rPr>
        <w:t>aboratory school planning and implementation</w:t>
      </w:r>
    </w:p>
    <w:p w14:paraId="4B6EAFB9" w14:textId="3B690F63" w:rsidR="00667776" w:rsidRDefault="001A7335" w:rsidP="00814484">
      <w:pPr>
        <w:spacing w:after="0" w:line="240" w:lineRule="auto"/>
        <w:jc w:val="both"/>
      </w:pPr>
      <w:r>
        <w:rPr>
          <w:b/>
          <w:bCs/>
        </w:rPr>
        <w:t>First and second cohorts</w:t>
      </w:r>
      <w:r w:rsidR="00653659" w:rsidRPr="00653659">
        <w:rPr>
          <w:b/>
          <w:bCs/>
        </w:rPr>
        <w:t>.</w:t>
      </w:r>
      <w:r w:rsidR="00653659">
        <w:t xml:space="preserve"> </w:t>
      </w:r>
      <w:r w:rsidR="00B32B39">
        <w:t>Five of the six laboratory schools have operated for</w:t>
      </w:r>
      <w:r w:rsidR="00667776">
        <w:t xml:space="preserve"> two to three years, and as such, are beyond the implementation challenges that laboratory schools faced in their start-up year. However, some operational issues require ongoing attention to planning and implementation.</w:t>
      </w:r>
    </w:p>
    <w:p w14:paraId="0106088B" w14:textId="77777777" w:rsidR="00667776" w:rsidRDefault="00667776" w:rsidP="00814484">
      <w:pPr>
        <w:spacing w:after="0" w:line="240" w:lineRule="auto"/>
        <w:jc w:val="both"/>
      </w:pPr>
    </w:p>
    <w:p w14:paraId="30F992A0" w14:textId="50FDB9E0" w:rsidR="007F7567" w:rsidRDefault="00C87965" w:rsidP="005E50A4">
      <w:pPr>
        <w:spacing w:after="0" w:line="240" w:lineRule="auto"/>
        <w:jc w:val="both"/>
      </w:pPr>
      <w:r w:rsidRPr="001D4894">
        <w:rPr>
          <w:i/>
          <w:iCs/>
        </w:rPr>
        <w:t>Student enrollment</w:t>
      </w:r>
      <w:r w:rsidR="00A2107C" w:rsidRPr="001D4894">
        <w:rPr>
          <w:i/>
          <w:iCs/>
        </w:rPr>
        <w:t>.</w:t>
      </w:r>
      <w:r w:rsidR="00A2107C">
        <w:t xml:space="preserve"> </w:t>
      </w:r>
      <w:r w:rsidR="00D04A98">
        <w:t xml:space="preserve">Several </w:t>
      </w:r>
      <w:r w:rsidR="00EF0321">
        <w:t>factors</w:t>
      </w:r>
      <w:r w:rsidR="00D04A98">
        <w:t xml:space="preserve"> impact student enrollment at laboratory schools. First, t</w:t>
      </w:r>
      <w:r w:rsidR="001D4894">
        <w:t xml:space="preserve">he laboratory school enabling legislation </w:t>
      </w:r>
      <w:r w:rsidR="00EF0321">
        <w:t xml:space="preserve">specifies </w:t>
      </w:r>
      <w:r w:rsidR="00333C6D">
        <w:t xml:space="preserve">student </w:t>
      </w:r>
      <w:r w:rsidR="00D04A98">
        <w:t xml:space="preserve">eligibility </w:t>
      </w:r>
      <w:r w:rsidR="001D4894">
        <w:t xml:space="preserve">criteria </w:t>
      </w:r>
      <w:r w:rsidR="00D04A98">
        <w:t>th</w:t>
      </w:r>
      <w:r w:rsidR="00EF0321">
        <w:t>at</w:t>
      </w:r>
      <w:r w:rsidR="00D04A98">
        <w:t xml:space="preserve"> limit</w:t>
      </w:r>
      <w:r w:rsidR="00EF0321">
        <w:t>s</w:t>
      </w:r>
      <w:r w:rsidR="00D04A98">
        <w:t xml:space="preserve"> the pool of students who can </w:t>
      </w:r>
      <w:r w:rsidR="00D04A98">
        <w:lastRenderedPageBreak/>
        <w:t>attend a laboratory school.</w:t>
      </w:r>
      <w:r w:rsidR="00D04A98">
        <w:rPr>
          <w:rStyle w:val="FootnoteReference"/>
        </w:rPr>
        <w:footnoteReference w:id="23"/>
      </w:r>
      <w:r w:rsidR="00D04A98">
        <w:t xml:space="preserve"> </w:t>
      </w:r>
      <w:r w:rsidR="00EF0321">
        <w:t xml:space="preserve">High </w:t>
      </w:r>
      <w:r w:rsidR="00D04A98">
        <w:t>transience a</w:t>
      </w:r>
      <w:r w:rsidR="00EF0321">
        <w:t>mong the students laboratory schools are intended to serve a</w:t>
      </w:r>
      <w:r w:rsidR="00D04A98">
        <w:t xml:space="preserve">lso contributes to laboratory schools losing </w:t>
      </w:r>
      <w:r w:rsidR="006209E6">
        <w:t xml:space="preserve">students year to year. Finally, </w:t>
      </w:r>
      <w:r w:rsidR="00E0497B">
        <w:t>transportation issues deter some eligible students from enrolling</w:t>
      </w:r>
      <w:r w:rsidR="007F7567">
        <w:t xml:space="preserve"> in or remaining at a laboratory school</w:t>
      </w:r>
      <w:r w:rsidR="00E0497B">
        <w:t>. L</w:t>
      </w:r>
      <w:r w:rsidR="00B57085">
        <w:t xml:space="preserve">aboratory schools rely on their </w:t>
      </w:r>
      <w:r w:rsidR="0075058F">
        <w:t>district partners</w:t>
      </w:r>
      <w:r w:rsidR="00B57085">
        <w:t xml:space="preserve"> to provide transportation</w:t>
      </w:r>
      <w:r w:rsidR="006209E6">
        <w:t xml:space="preserve"> so are subject to district </w:t>
      </w:r>
      <w:r w:rsidR="004204BB">
        <w:t>policies</w:t>
      </w:r>
      <w:r w:rsidR="006209E6">
        <w:t xml:space="preserve">. </w:t>
      </w:r>
      <w:r w:rsidR="00F96794">
        <w:t xml:space="preserve">Students living outside of laboratory school </w:t>
      </w:r>
      <w:r w:rsidR="000E6FD8">
        <w:t>zones must arrange for their own transportation</w:t>
      </w:r>
      <w:r w:rsidR="007F7567">
        <w:t>, take longer bus rides, or travel longer to reach a bus pick-up/drop-off location.</w:t>
      </w:r>
    </w:p>
    <w:p w14:paraId="0D18D2A7" w14:textId="77777777" w:rsidR="007F7567" w:rsidRDefault="007F7567" w:rsidP="005E50A4">
      <w:pPr>
        <w:spacing w:after="0" w:line="240" w:lineRule="auto"/>
        <w:jc w:val="both"/>
      </w:pPr>
    </w:p>
    <w:p w14:paraId="4309CFEE" w14:textId="76AEE51C" w:rsidR="00C87965" w:rsidRDefault="0068724C" w:rsidP="00F96794">
      <w:pPr>
        <w:spacing w:after="0" w:line="240" w:lineRule="auto"/>
        <w:jc w:val="both"/>
      </w:pPr>
      <w:r>
        <w:t xml:space="preserve">Changes </w:t>
      </w:r>
      <w:r w:rsidR="0075058F">
        <w:t xml:space="preserve">made </w:t>
      </w:r>
      <w:r>
        <w:t>to the laboratory school legislation</w:t>
      </w:r>
      <w:r w:rsidR="0075058F">
        <w:t xml:space="preserve"> </w:t>
      </w:r>
      <w:r w:rsidR="006209E6">
        <w:t xml:space="preserve">during the 2020 legislative session </w:t>
      </w:r>
      <w:r w:rsidR="0075058F">
        <w:t xml:space="preserve">may help </w:t>
      </w:r>
      <w:r w:rsidR="006209E6">
        <w:t xml:space="preserve">diminish the </w:t>
      </w:r>
      <w:r w:rsidR="00EF0321">
        <w:t xml:space="preserve">impact of some of these enrollment </w:t>
      </w:r>
      <w:r w:rsidR="006209E6">
        <w:t xml:space="preserve">challenges. </w:t>
      </w:r>
      <w:r w:rsidR="00F96794">
        <w:t xml:space="preserve">Beginning in fall 2020, laboratory schools not fully enrolled by March </w:t>
      </w:r>
      <w:r w:rsidR="0035355A">
        <w:t xml:space="preserve">1 </w:t>
      </w:r>
      <w:r w:rsidR="00F96794">
        <w:t xml:space="preserve">preceding the next school year will be permitted </w:t>
      </w:r>
      <w:r w:rsidR="003C1665">
        <w:t xml:space="preserve">to enroll students who live within </w:t>
      </w:r>
      <w:r w:rsidR="007F7567">
        <w:t xml:space="preserve">the </w:t>
      </w:r>
      <w:r w:rsidR="003C1665">
        <w:t>district but do</w:t>
      </w:r>
      <w:r w:rsidR="00F96794">
        <w:t xml:space="preserve"> </w:t>
      </w:r>
      <w:r w:rsidR="003C1665">
        <w:t>n</w:t>
      </w:r>
      <w:r w:rsidR="00F96794">
        <w:t>o</w:t>
      </w:r>
      <w:r w:rsidR="003C1665">
        <w:t xml:space="preserve">t meet </w:t>
      </w:r>
      <w:r w:rsidR="00F96794">
        <w:t>the other eligibility criteria</w:t>
      </w:r>
      <w:r w:rsidR="007F7567">
        <w:t xml:space="preserve">. This is allowed for up to 20 percent of the school’s total student </w:t>
      </w:r>
      <w:r w:rsidR="0035355A">
        <w:t>capacity</w:t>
      </w:r>
      <w:r w:rsidR="00F96794">
        <w:t>.</w:t>
      </w:r>
      <w:r w:rsidR="00EF0321">
        <w:rPr>
          <w:rStyle w:val="FootnoteReference"/>
        </w:rPr>
        <w:footnoteReference w:id="24"/>
      </w:r>
      <w:r w:rsidR="00BE33C7">
        <w:t xml:space="preserve"> In addition, districts where laboratory schools are located will be required to provide transportation to students living within the district regardless of transportation policies and practices applied to other students and schools.</w:t>
      </w:r>
      <w:r w:rsidR="00BE33C7">
        <w:rPr>
          <w:rStyle w:val="FootnoteReference"/>
        </w:rPr>
        <w:footnoteReference w:id="25"/>
      </w:r>
    </w:p>
    <w:p w14:paraId="408D5755" w14:textId="77777777" w:rsidR="00F96794" w:rsidRDefault="00F96794" w:rsidP="00814484">
      <w:pPr>
        <w:spacing w:after="0" w:line="240" w:lineRule="auto"/>
        <w:jc w:val="both"/>
      </w:pPr>
    </w:p>
    <w:p w14:paraId="3EA61D5C" w14:textId="4FE3FD6D" w:rsidR="00CD351E" w:rsidRDefault="00F96794" w:rsidP="000719D1">
      <w:pPr>
        <w:spacing w:after="0" w:line="240" w:lineRule="auto"/>
        <w:jc w:val="both"/>
      </w:pPr>
      <w:r w:rsidRPr="00F96794">
        <w:rPr>
          <w:i/>
          <w:iCs/>
        </w:rPr>
        <w:t>Staff hiring.</w:t>
      </w:r>
      <w:r>
        <w:t xml:space="preserve"> </w:t>
      </w:r>
      <w:r w:rsidR="009B4382">
        <w:t>L</w:t>
      </w:r>
      <w:r w:rsidR="00060CAF">
        <w:t xml:space="preserve">aboratory schools </w:t>
      </w:r>
      <w:r w:rsidR="009B4382">
        <w:t>have continually engaged in hiring to address staff turnover. In addition to natural attrition (due to teachers retiring, moving, or taking leave for health reasons), some teachers have left laboratory schools for lack of fit w</w:t>
      </w:r>
      <w:r w:rsidR="00060CAF">
        <w:t>ith the laboratory school mission</w:t>
      </w:r>
      <w:r w:rsidR="009B4382">
        <w:t xml:space="preserve"> or the </w:t>
      </w:r>
      <w:r w:rsidR="00060CAF">
        <w:t>needs of students served</w:t>
      </w:r>
      <w:r w:rsidR="009B4382">
        <w:t xml:space="preserve">. </w:t>
      </w:r>
      <w:r w:rsidR="009822E0">
        <w:t>Though laboratory schools prioritize staffing their schools with licensed and experienced teachers, some have hire</w:t>
      </w:r>
      <w:r w:rsidR="004204BB">
        <w:t>d</w:t>
      </w:r>
      <w:r w:rsidR="009822E0">
        <w:t xml:space="preserve"> </w:t>
      </w:r>
      <w:r w:rsidR="00CD351E">
        <w:t xml:space="preserve">beginning teachers </w:t>
      </w:r>
      <w:r w:rsidR="009822E0">
        <w:t>(</w:t>
      </w:r>
      <w:r w:rsidR="00CD351E">
        <w:t>teachers in their first three years of teaching</w:t>
      </w:r>
      <w:r w:rsidR="009822E0">
        <w:t>) who had clinical experiences at the laboratory school</w:t>
      </w:r>
      <w:r w:rsidR="00F912A8">
        <w:t xml:space="preserve"> as </w:t>
      </w:r>
      <w:r w:rsidR="003D2FB7">
        <w:t>pre-service</w:t>
      </w:r>
      <w:r w:rsidR="00F912A8">
        <w:t xml:space="preserve"> candidates or otherwise demonstrate that their teaching experience, interests, and goals are aligned with the laboratory school environment. </w:t>
      </w:r>
    </w:p>
    <w:p w14:paraId="209BD9AF" w14:textId="77777777" w:rsidR="00F96794" w:rsidRDefault="00F96794" w:rsidP="00814484">
      <w:pPr>
        <w:spacing w:after="0" w:line="240" w:lineRule="auto"/>
        <w:jc w:val="both"/>
      </w:pPr>
    </w:p>
    <w:p w14:paraId="0657C326" w14:textId="4C10D329" w:rsidR="00C87965" w:rsidRDefault="00C87965" w:rsidP="00814484">
      <w:pPr>
        <w:spacing w:after="0" w:line="240" w:lineRule="auto"/>
        <w:jc w:val="both"/>
      </w:pPr>
      <w:r w:rsidRPr="00653659">
        <w:rPr>
          <w:i/>
          <w:iCs/>
        </w:rPr>
        <w:t>Budget</w:t>
      </w:r>
      <w:r w:rsidR="00F96794" w:rsidRPr="00653659">
        <w:rPr>
          <w:i/>
          <w:iCs/>
        </w:rPr>
        <w:t>s</w:t>
      </w:r>
      <w:r w:rsidR="003D2351" w:rsidRPr="00653659">
        <w:rPr>
          <w:i/>
          <w:iCs/>
        </w:rPr>
        <w:t>.</w:t>
      </w:r>
      <w:r w:rsidR="003D2351">
        <w:t xml:space="preserve"> </w:t>
      </w:r>
      <w:r w:rsidR="000719D1">
        <w:t xml:space="preserve">Ideally, enrollment </w:t>
      </w:r>
      <w:r w:rsidR="006E2C4F">
        <w:t xml:space="preserve">would generate </w:t>
      </w:r>
      <w:r w:rsidR="000719D1">
        <w:t xml:space="preserve">sufficient ADM funds so that laboratory schools are sustainable on </w:t>
      </w:r>
      <w:r w:rsidR="00B66493">
        <w:t xml:space="preserve">state allocations </w:t>
      </w:r>
      <w:r w:rsidR="000719D1">
        <w:t xml:space="preserve">alone. However, given the needs of </w:t>
      </w:r>
      <w:r w:rsidR="006E2C4F">
        <w:t xml:space="preserve">the </w:t>
      </w:r>
      <w:r w:rsidR="000719D1">
        <w:t xml:space="preserve">students that </w:t>
      </w:r>
      <w:r w:rsidR="00B27501">
        <w:t>they</w:t>
      </w:r>
      <w:r w:rsidR="000719D1">
        <w:t xml:space="preserve"> serve, laboratory schools tend to have smaller class sizes and teacher to student ratios, particularly for younger elementary grades. Target enrollments balance these competing factors but have generally resulted in gaps between funds allocated per ADM and actual laboratory school costs. </w:t>
      </w:r>
      <w:r w:rsidR="002A45A0">
        <w:t xml:space="preserve">Laboratory schools receive </w:t>
      </w:r>
      <w:r w:rsidR="000719D1">
        <w:t xml:space="preserve">annual </w:t>
      </w:r>
      <w:r w:rsidR="002A45A0">
        <w:t xml:space="preserve">supplemental revenue from the UNC System Office to support operation </w:t>
      </w:r>
      <w:r w:rsidR="000719D1">
        <w:t>but rely on</w:t>
      </w:r>
      <w:r w:rsidR="00653659">
        <w:t xml:space="preserve"> Colleges of Education to close budget gaps.</w:t>
      </w:r>
      <w:r w:rsidR="001D61C9">
        <w:rPr>
          <w:rStyle w:val="FootnoteReference"/>
        </w:rPr>
        <w:footnoteReference w:id="26"/>
      </w:r>
      <w:r w:rsidR="00EC371D">
        <w:t xml:space="preserve"> </w:t>
      </w:r>
    </w:p>
    <w:p w14:paraId="3C81AC67" w14:textId="77777777" w:rsidR="00DE716A" w:rsidRDefault="00DE716A" w:rsidP="00814484">
      <w:pPr>
        <w:spacing w:after="0" w:line="240" w:lineRule="auto"/>
        <w:jc w:val="both"/>
      </w:pPr>
    </w:p>
    <w:p w14:paraId="7504B464" w14:textId="71CCDBB4" w:rsidR="00FD38CF" w:rsidRDefault="001A7335" w:rsidP="00407779">
      <w:pPr>
        <w:spacing w:after="0" w:line="240" w:lineRule="auto"/>
        <w:jc w:val="both"/>
      </w:pPr>
      <w:r>
        <w:rPr>
          <w:b/>
          <w:bCs/>
        </w:rPr>
        <w:t>Third cohort</w:t>
      </w:r>
      <w:r w:rsidR="00653659" w:rsidRPr="00653659">
        <w:rPr>
          <w:b/>
          <w:bCs/>
        </w:rPr>
        <w:t>.</w:t>
      </w:r>
      <w:r w:rsidR="00653659">
        <w:t xml:space="preserve"> </w:t>
      </w:r>
      <w:r w:rsidR="000E7AA4">
        <w:t>T</w:t>
      </w:r>
      <w:r w:rsidR="00653659">
        <w:t>hree years after the first laboratory school</w:t>
      </w:r>
      <w:r w:rsidR="000E7AA4">
        <w:t>s launched</w:t>
      </w:r>
      <w:r w:rsidR="00653659">
        <w:t xml:space="preserve">, </w:t>
      </w:r>
      <w:r w:rsidR="000E7AA4">
        <w:t xml:space="preserve">the sixth, </w:t>
      </w:r>
      <w:r w:rsidR="00653659">
        <w:t>UNCC’s Niner University Elementary School</w:t>
      </w:r>
      <w:r w:rsidR="008C25E3">
        <w:t>,</w:t>
      </w:r>
      <w:r w:rsidR="00653659">
        <w:t xml:space="preserve"> </w:t>
      </w:r>
      <w:r w:rsidR="000E7AA4">
        <w:t xml:space="preserve">opened in August 2020. Though </w:t>
      </w:r>
      <w:r w:rsidR="00D24437">
        <w:t xml:space="preserve">UNCC </w:t>
      </w:r>
      <w:r w:rsidR="00407779">
        <w:t xml:space="preserve">benefitted from the </w:t>
      </w:r>
      <w:r w:rsidR="000E7AA4">
        <w:t xml:space="preserve">planning and implementation </w:t>
      </w:r>
      <w:r w:rsidR="00407779">
        <w:t xml:space="preserve">experiences of </w:t>
      </w:r>
      <w:r w:rsidR="000E7AA4">
        <w:t xml:space="preserve">the first two cohorts of laboratory schools (ECU and WCU opened laboratory schools in 2017-18; Appalachian State, UNCG, and UNCW opened laboratory schools in 2018-19) </w:t>
      </w:r>
      <w:r w:rsidR="008C25E3">
        <w:t>it</w:t>
      </w:r>
      <w:r w:rsidR="00407779">
        <w:t xml:space="preserve"> </w:t>
      </w:r>
      <w:r w:rsidR="00382E80">
        <w:t xml:space="preserve">experienced the same challenges </w:t>
      </w:r>
      <w:r w:rsidR="00596CD3">
        <w:t xml:space="preserve">as its peers </w:t>
      </w:r>
      <w:r w:rsidR="00CB56E1">
        <w:t>in</w:t>
      </w:r>
      <w:r w:rsidR="00382E80">
        <w:t xml:space="preserve"> adapt</w:t>
      </w:r>
      <w:r w:rsidR="004204BB">
        <w:t>ing</w:t>
      </w:r>
      <w:r w:rsidR="00382E80">
        <w:t xml:space="preserve"> and align</w:t>
      </w:r>
      <w:r w:rsidR="004204BB">
        <w:t>ing</w:t>
      </w:r>
      <w:r w:rsidR="00382E80">
        <w:t xml:space="preserve"> university administrative </w:t>
      </w:r>
      <w:r w:rsidR="00382E80">
        <w:lastRenderedPageBreak/>
        <w:t>systems (e.g., finance,</w:t>
      </w:r>
      <w:r w:rsidR="00596CD3">
        <w:t xml:space="preserve"> human resources) with K12 systems and rules. UNCC also dealt with a unique set of challenges. </w:t>
      </w:r>
    </w:p>
    <w:p w14:paraId="5B157E7A" w14:textId="77777777" w:rsidR="00D432D2" w:rsidRDefault="00D432D2" w:rsidP="00407779">
      <w:pPr>
        <w:spacing w:after="0" w:line="240" w:lineRule="auto"/>
        <w:jc w:val="both"/>
      </w:pPr>
    </w:p>
    <w:p w14:paraId="5BDDF375" w14:textId="627BFFB9" w:rsidR="00A12537" w:rsidRDefault="00407779" w:rsidP="00382E80">
      <w:pPr>
        <w:spacing w:after="0" w:line="240" w:lineRule="auto"/>
        <w:jc w:val="both"/>
      </w:pPr>
      <w:r w:rsidRPr="008C25E3">
        <w:rPr>
          <w:i/>
          <w:iCs/>
        </w:rPr>
        <w:t>Delayed open</w:t>
      </w:r>
      <w:r>
        <w:t xml:space="preserve">. </w:t>
      </w:r>
      <w:r w:rsidR="00AD5E97">
        <w:t>A series of challenges resulted in the delayed launch of UNCC’s laboratory school.</w:t>
      </w:r>
      <w:r w:rsidR="008C25E3">
        <w:t xml:space="preserve"> UNCC began discussing a location for </w:t>
      </w:r>
      <w:r w:rsidR="00A938E3">
        <w:t>its</w:t>
      </w:r>
      <w:r w:rsidR="008C25E3">
        <w:t xml:space="preserve"> laboratory school with Charlotte Mecklenburg Schools</w:t>
      </w:r>
      <w:r w:rsidR="00FD38CF">
        <w:t xml:space="preserve"> (CMS)</w:t>
      </w:r>
      <w:r w:rsidR="008C25E3">
        <w:t xml:space="preserve"> </w:t>
      </w:r>
      <w:r w:rsidR="00BD76B6">
        <w:t>in spring 2017</w:t>
      </w:r>
      <w:r w:rsidR="008C25E3">
        <w:t xml:space="preserve"> and was approved</w:t>
      </w:r>
      <w:r w:rsidR="00B3266E">
        <w:t xml:space="preserve"> in 2018</w:t>
      </w:r>
      <w:r w:rsidR="00A938E3">
        <w:t>,</w:t>
      </w:r>
      <w:r w:rsidR="00B3266E">
        <w:t xml:space="preserve"> by the UNC Board of Governors Subcommittee on Laboratory Schools, to open in fall 2019. </w:t>
      </w:r>
      <w:r w:rsidR="005E61BD">
        <w:t xml:space="preserve">However, </w:t>
      </w:r>
      <w:r w:rsidR="008C25E3">
        <w:t>lower than expected enrollment</w:t>
      </w:r>
      <w:r w:rsidR="00253697">
        <w:t>,</w:t>
      </w:r>
      <w:r w:rsidR="008C25E3">
        <w:t xml:space="preserve"> coupled with </w:t>
      </w:r>
      <w:r w:rsidR="009E4D36">
        <w:t>a change in superintendents at CMS and deans at the College of Education</w:t>
      </w:r>
      <w:r w:rsidR="005E61BD">
        <w:t>,</w:t>
      </w:r>
      <w:r w:rsidR="009E4D36">
        <w:t xml:space="preserve"> </w:t>
      </w:r>
      <w:r w:rsidR="007439CA">
        <w:t xml:space="preserve">led </w:t>
      </w:r>
      <w:r w:rsidR="00382E80">
        <w:t xml:space="preserve">UNCC </w:t>
      </w:r>
      <w:r w:rsidR="009E4D36">
        <w:t xml:space="preserve">to </w:t>
      </w:r>
      <w:r w:rsidR="007439CA">
        <w:t>postpone</w:t>
      </w:r>
      <w:r w:rsidR="00382E80">
        <w:t xml:space="preserve"> launch</w:t>
      </w:r>
      <w:r w:rsidR="009E4D36">
        <w:t>ing</w:t>
      </w:r>
      <w:r w:rsidR="00382E80">
        <w:t xml:space="preserve"> </w:t>
      </w:r>
      <w:r w:rsidR="009E4D36">
        <w:t xml:space="preserve">its </w:t>
      </w:r>
      <w:r w:rsidR="00382E80">
        <w:t>school</w:t>
      </w:r>
      <w:r w:rsidR="009E4D36">
        <w:t>. The additional year</w:t>
      </w:r>
      <w:r w:rsidR="00382E80">
        <w:t xml:space="preserve"> allow</w:t>
      </w:r>
      <w:r w:rsidR="009E4D36">
        <w:t>ed</w:t>
      </w:r>
      <w:r w:rsidR="00382E80">
        <w:t xml:space="preserve"> UNCC the opportunity to reconsider the location of the laboratory school. Though t</w:t>
      </w:r>
      <w:r w:rsidR="00A12537">
        <w:t>he current campus is located farther away from the UNCC campus than originally desired</w:t>
      </w:r>
      <w:r w:rsidR="007439CA">
        <w:t>,</w:t>
      </w:r>
      <w:r w:rsidR="00A12537">
        <w:t xml:space="preserve"> </w:t>
      </w:r>
      <w:r w:rsidR="00382E80">
        <w:t xml:space="preserve">it </w:t>
      </w:r>
      <w:r w:rsidR="00A12537">
        <w:t>is located in a</w:t>
      </w:r>
      <w:r w:rsidR="00D41C74">
        <w:t xml:space="preserve"> community that </w:t>
      </w:r>
      <w:r w:rsidR="007439CA">
        <w:t>better</w:t>
      </w:r>
      <w:r w:rsidR="00D41C74">
        <w:t xml:space="preserve"> reflects the statutory eligibility criteria for laboratory school students</w:t>
      </w:r>
      <w:r w:rsidR="00B3266E">
        <w:t>. This</w:t>
      </w:r>
      <w:r w:rsidR="00382E80">
        <w:t xml:space="preserve"> minimizes enrollment challenges that other laboratory schools have had (see discussion above)</w:t>
      </w:r>
      <w:r w:rsidR="009A3672">
        <w:t>.</w:t>
      </w:r>
    </w:p>
    <w:p w14:paraId="281CAA51" w14:textId="77777777" w:rsidR="00382E80" w:rsidRDefault="00382E80" w:rsidP="00382E80">
      <w:pPr>
        <w:spacing w:after="0" w:line="240" w:lineRule="auto"/>
        <w:jc w:val="both"/>
      </w:pPr>
    </w:p>
    <w:p w14:paraId="3DEFD1BD" w14:textId="7890EA1B" w:rsidR="004C70BC" w:rsidRDefault="00407779" w:rsidP="004C70BC">
      <w:pPr>
        <w:spacing w:after="0" w:line="240" w:lineRule="auto"/>
        <w:jc w:val="both"/>
      </w:pPr>
      <w:r w:rsidRPr="00382E80">
        <w:rPr>
          <w:i/>
          <w:iCs/>
        </w:rPr>
        <w:t>C</w:t>
      </w:r>
      <w:r w:rsidR="00B3266E">
        <w:rPr>
          <w:i/>
          <w:iCs/>
        </w:rPr>
        <w:t>OVID</w:t>
      </w:r>
      <w:r w:rsidRPr="00382E80">
        <w:rPr>
          <w:i/>
          <w:iCs/>
        </w:rPr>
        <w:t>-19.</w:t>
      </w:r>
      <w:r w:rsidR="00FD38CF">
        <w:rPr>
          <w:i/>
          <w:iCs/>
        </w:rPr>
        <w:t xml:space="preserve"> </w:t>
      </w:r>
      <w:r>
        <w:t>The C</w:t>
      </w:r>
      <w:r w:rsidR="00B3266E">
        <w:t>OVID</w:t>
      </w:r>
      <w:r>
        <w:t xml:space="preserve">-19 pandemic resulted in a statewide stay-at-home </w:t>
      </w:r>
      <w:r w:rsidR="00B97E9D">
        <w:t xml:space="preserve">order </w:t>
      </w:r>
      <w:r>
        <w:t xml:space="preserve">issued in March 2020. Consequently, </w:t>
      </w:r>
      <w:r w:rsidR="00E66A0D">
        <w:t>UNCC abandon</w:t>
      </w:r>
      <w:r>
        <w:t>ed</w:t>
      </w:r>
      <w:r w:rsidR="00E66A0D">
        <w:t xml:space="preserve"> in</w:t>
      </w:r>
      <w:r>
        <w:t>-</w:t>
      </w:r>
      <w:r w:rsidR="00E66A0D">
        <w:t xml:space="preserve">person </w:t>
      </w:r>
      <w:r w:rsidR="00A2107C">
        <w:t xml:space="preserve">student </w:t>
      </w:r>
      <w:r w:rsidR="00E66A0D">
        <w:t>recruitment efforts such as door-to-door canvassing and meetings hosted at community-based organizations.</w:t>
      </w:r>
      <w:r>
        <w:t xml:space="preserve"> UNCC also paused new </w:t>
      </w:r>
      <w:r w:rsidR="00A2107C">
        <w:t xml:space="preserve">staff </w:t>
      </w:r>
      <w:r>
        <w:t>hiring</w:t>
      </w:r>
      <w:r w:rsidR="00A2107C">
        <w:t xml:space="preserve">. Though UNCC had hired the majority of </w:t>
      </w:r>
      <w:r w:rsidR="00DE716A">
        <w:t xml:space="preserve">its </w:t>
      </w:r>
      <w:r w:rsidR="00A2107C">
        <w:t xml:space="preserve">teaching staff by spring 2020, the pandemic forced UNCC to </w:t>
      </w:r>
      <w:r w:rsidR="00804252">
        <w:t>transition</w:t>
      </w:r>
      <w:r w:rsidR="00B97E9D">
        <w:t xml:space="preserve"> other new staff hiring activities to online platforms. </w:t>
      </w:r>
      <w:r w:rsidR="005322BD">
        <w:t>In alignment with CMS’ school reopening plan, UNCC opened its school with remote learning in place (for an indefinite period)</w:t>
      </w:r>
      <w:r w:rsidR="004C70BC">
        <w:t>.</w:t>
      </w:r>
      <w:r w:rsidR="006F1017">
        <w:rPr>
          <w:rStyle w:val="FootnoteReference"/>
        </w:rPr>
        <w:footnoteReference w:id="27"/>
      </w:r>
      <w:r w:rsidR="00DE716A">
        <w:t xml:space="preserve"> </w:t>
      </w:r>
      <w:r w:rsidR="004C70BC">
        <w:t>(See Appendix A</w:t>
      </w:r>
      <w:r w:rsidR="00B97E9D">
        <w:t>1</w:t>
      </w:r>
      <w:r w:rsidR="004C70BC">
        <w:t xml:space="preserve"> for detail on C</w:t>
      </w:r>
      <w:r w:rsidR="00B97E9D">
        <w:t>OVID</w:t>
      </w:r>
      <w:r w:rsidR="004C70BC">
        <w:t xml:space="preserve">-19’s impact on laboratory schools.) </w:t>
      </w:r>
    </w:p>
    <w:p w14:paraId="0239F36B" w14:textId="77777777" w:rsidR="001A7335" w:rsidRDefault="001A7335" w:rsidP="00382E80">
      <w:pPr>
        <w:spacing w:after="0" w:line="240" w:lineRule="auto"/>
        <w:jc w:val="both"/>
      </w:pPr>
    </w:p>
    <w:p w14:paraId="673E4598" w14:textId="1374F80F" w:rsidR="000126C9" w:rsidRDefault="00E63606" w:rsidP="000126C9">
      <w:pPr>
        <w:spacing w:after="0" w:line="240" w:lineRule="auto"/>
        <w:jc w:val="both"/>
      </w:pPr>
      <w:r>
        <w:rPr>
          <w:b/>
          <w:bCs/>
        </w:rPr>
        <w:t xml:space="preserve">2020-21 school year. </w:t>
      </w:r>
      <w:r w:rsidR="00096BC0">
        <w:t>In response to the ongoing C</w:t>
      </w:r>
      <w:r w:rsidR="00BD2743">
        <w:t>OVID</w:t>
      </w:r>
      <w:r w:rsidR="00096BC0">
        <w:t>-19 pandemic, t</w:t>
      </w:r>
      <w:r w:rsidR="00AD0704">
        <w:t>he State Board of Education required all North Carolina school districts to develop contingency plans for reopening schools in the 2020-21 school year that are aligned with state guidance for safely returning students and staff to school</w:t>
      </w:r>
      <w:r>
        <w:t>.</w:t>
      </w:r>
      <w:r w:rsidR="0037599A" w:rsidRPr="00584AAA">
        <w:rPr>
          <w:rStyle w:val="FootnoteReference"/>
        </w:rPr>
        <w:footnoteReference w:id="28"/>
      </w:r>
      <w:r>
        <w:t xml:space="preserve"> Laboratory schools</w:t>
      </w:r>
      <w:r w:rsidR="009755BC">
        <w:t xml:space="preserve">, like all North Carolina schools, were </w:t>
      </w:r>
      <w:r w:rsidR="005401E7">
        <w:t>un</w:t>
      </w:r>
      <w:r w:rsidR="009755BC">
        <w:t xml:space="preserve">able to make definitive plans for school re-opening </w:t>
      </w:r>
      <w:r w:rsidR="005401E7">
        <w:t>until</w:t>
      </w:r>
      <w:r w:rsidR="009755BC">
        <w:t xml:space="preserve"> July when the state confirmed that schools would be allowed to reopen at reduced capacity or continue full-time remote learning.</w:t>
      </w:r>
      <w:r w:rsidR="00B9536E" w:rsidRPr="00584AAA">
        <w:t xml:space="preserve"> </w:t>
      </w:r>
      <w:r w:rsidR="00E1005C" w:rsidRPr="00584AAA">
        <w:t>All laboratory schools adopted reopening strategies aligned with their host district’s approach</w:t>
      </w:r>
      <w:r w:rsidR="00E1005C">
        <w:t xml:space="preserve"> and worked with thei</w:t>
      </w:r>
      <w:r w:rsidR="00E2404A">
        <w:t xml:space="preserve">r district partners to coordinate services </w:t>
      </w:r>
      <w:r w:rsidR="0040147A">
        <w:t xml:space="preserve">(e.g., transportation, meal services) </w:t>
      </w:r>
      <w:r w:rsidR="00E2404A">
        <w:t>required to support in-person and</w:t>
      </w:r>
      <w:r w:rsidR="000126C9">
        <w:t>/or</w:t>
      </w:r>
      <w:r w:rsidR="00E2404A">
        <w:t xml:space="preserve"> remote instruction</w:t>
      </w:r>
      <w:r w:rsidR="00E1005C">
        <w:t>. F</w:t>
      </w:r>
      <w:r w:rsidR="00E1005C" w:rsidRPr="00584AAA">
        <w:t>our</w:t>
      </w:r>
      <w:r w:rsidR="00AD0704">
        <w:t xml:space="preserve"> laboratory schools reopened with remote learning for all students and two laboratory schools reopened using a “hybrid” approach that combines in-person and remote learning strategies. </w:t>
      </w:r>
      <w:r w:rsidR="00CA32A0">
        <w:t xml:space="preserve">Given pandemic-driven uncertainties, D.C. Virgo Preparatory Academy </w:t>
      </w:r>
      <w:r w:rsidR="00AE23F2">
        <w:t>(UNCW)</w:t>
      </w:r>
      <w:r w:rsidR="00AD0704">
        <w:t>, which typically operates on a year-round calendar,</w:t>
      </w:r>
      <w:r w:rsidR="00AE23F2">
        <w:t xml:space="preserve"> </w:t>
      </w:r>
      <w:r w:rsidR="00CA32A0">
        <w:t xml:space="preserve">elected to operate on a traditional academic calendar for the 2020-21 school year. </w:t>
      </w:r>
      <w:r w:rsidR="000126C9">
        <w:t>Laboratory schools also worked wit</w:t>
      </w:r>
      <w:r w:rsidR="00E1005C">
        <w:t xml:space="preserve">h </w:t>
      </w:r>
      <w:r w:rsidR="000126C9">
        <w:t xml:space="preserve">their </w:t>
      </w:r>
      <w:r w:rsidR="00E1005C">
        <w:t>university partners to adapt strategies for engaging preservice candidates and COE faculty to accommodate remote learning instruction.</w:t>
      </w:r>
      <w:r w:rsidR="000126C9">
        <w:t xml:space="preserve"> F</w:t>
      </w:r>
      <w:r w:rsidR="00AE23F2">
        <w:t xml:space="preserve">ive </w:t>
      </w:r>
      <w:r w:rsidR="000126C9">
        <w:t xml:space="preserve">laboratory schools engaged preservice candidates in the fall semester under the supervision of COE and other university faculty and laboratory </w:t>
      </w:r>
      <w:proofErr w:type="gramStart"/>
      <w:r w:rsidR="000126C9">
        <w:t>school teachers</w:t>
      </w:r>
      <w:proofErr w:type="gramEnd"/>
      <w:r w:rsidR="000126C9">
        <w:t xml:space="preserve"> and staff. At D.C. Virgo Preparatory Academy (UNCW) and the Academy at Middle Fork </w:t>
      </w:r>
      <w:r w:rsidR="000126C9">
        <w:lastRenderedPageBreak/>
        <w:t>(Appalachian State)</w:t>
      </w:r>
      <w:r w:rsidR="00FB4FE4">
        <w:t>,</w:t>
      </w:r>
      <w:r w:rsidR="000126C9">
        <w:t xml:space="preserve"> COE faculty serving in faculty-in-residence roles also provided specific support for virtual learning</w:t>
      </w:r>
      <w:r w:rsidR="00190DE9">
        <w:t>.</w:t>
      </w:r>
    </w:p>
    <w:p w14:paraId="68BEFA92" w14:textId="3DD22FF0" w:rsidR="00584AAA" w:rsidRDefault="00584AAA" w:rsidP="004F3D68">
      <w:pPr>
        <w:spacing w:after="0" w:line="240" w:lineRule="auto"/>
        <w:jc w:val="both"/>
        <w:rPr>
          <w:b/>
          <w:i/>
        </w:rPr>
      </w:pPr>
    </w:p>
    <w:p w14:paraId="29788EB4" w14:textId="486F9625" w:rsidR="003A23F3" w:rsidRPr="00B16929" w:rsidRDefault="003A23F3" w:rsidP="001A0821">
      <w:pPr>
        <w:jc w:val="both"/>
        <w:rPr>
          <w:b/>
          <w:i/>
        </w:rPr>
      </w:pPr>
      <w:r w:rsidRPr="00B16929">
        <w:rPr>
          <w:b/>
          <w:i/>
        </w:rPr>
        <w:t>How do laboratory schools form and harness partnerships to benefit learning, teaching, and school leadership?</w:t>
      </w:r>
    </w:p>
    <w:p w14:paraId="02392A92" w14:textId="4A0E542B" w:rsidR="000D1A53" w:rsidRPr="00D27862" w:rsidRDefault="0041259C" w:rsidP="000D1A53">
      <w:pPr>
        <w:spacing w:after="0" w:line="240" w:lineRule="auto"/>
        <w:jc w:val="both"/>
      </w:pPr>
      <w:r>
        <w:t xml:space="preserve">The </w:t>
      </w:r>
      <w:r w:rsidR="000D1A53">
        <w:t>enabling</w:t>
      </w:r>
      <w:r>
        <w:t xml:space="preserve"> </w:t>
      </w:r>
      <w:r w:rsidR="000D1A53">
        <w:t xml:space="preserve">laboratory school </w:t>
      </w:r>
      <w:r>
        <w:t xml:space="preserve">legislation </w:t>
      </w:r>
      <w:r w:rsidR="000D1A53">
        <w:t>specifie</w:t>
      </w:r>
      <w:r>
        <w:t>s that laboratory schools shall use resources available to the constituent institution to expand opportunities for student success.</w:t>
      </w:r>
      <w:r>
        <w:rPr>
          <w:rStyle w:val="FootnoteReference"/>
        </w:rPr>
        <w:footnoteReference w:id="29"/>
      </w:r>
      <w:r>
        <w:t xml:space="preserve"> In practice, l</w:t>
      </w:r>
      <w:r w:rsidR="003A23F3">
        <w:t>aboratory schools have</w:t>
      </w:r>
      <w:r>
        <w:t xml:space="preserve"> availed themselves of additional resources through </w:t>
      </w:r>
      <w:r w:rsidR="00D27862">
        <w:t>partnerships with the following:</w:t>
      </w:r>
      <w:r w:rsidR="001602EB">
        <w:t xml:space="preserve"> </w:t>
      </w:r>
      <w:r w:rsidR="00717D97" w:rsidRPr="00257EF8">
        <w:rPr>
          <w:rFonts w:cstheme="minorHAnsi"/>
        </w:rPr>
        <w:t>(1) host school districts; (2) other divisions of the university; (3) COE faculty; and (4) community partners.</w:t>
      </w:r>
      <w:r w:rsidR="00717D97">
        <w:rPr>
          <w:rFonts w:cstheme="minorHAnsi"/>
        </w:rPr>
        <w:t xml:space="preserve"> Though partnerships have become a fundamental feature of laboratory schools, successful </w:t>
      </w:r>
      <w:r w:rsidR="005E61BD">
        <w:rPr>
          <w:rFonts w:cstheme="minorHAnsi"/>
        </w:rPr>
        <w:t xml:space="preserve">collaborations </w:t>
      </w:r>
      <w:r w:rsidR="00717D97">
        <w:rPr>
          <w:rFonts w:cstheme="minorHAnsi"/>
        </w:rPr>
        <w:t>require that laboratory school leaders have the capacity to develop and manage them.</w:t>
      </w:r>
      <w:r w:rsidR="00413C69">
        <w:rPr>
          <w:rFonts w:cstheme="minorHAnsi"/>
        </w:rPr>
        <w:t xml:space="preserve"> </w:t>
      </w:r>
      <w:r w:rsidR="00717D97">
        <w:rPr>
          <w:rFonts w:cstheme="minorHAnsi"/>
        </w:rPr>
        <w:t xml:space="preserve"> </w:t>
      </w:r>
    </w:p>
    <w:p w14:paraId="6135C6EF" w14:textId="77777777" w:rsidR="001250FE" w:rsidRDefault="001250FE" w:rsidP="000D1A53">
      <w:pPr>
        <w:spacing w:after="0" w:line="240" w:lineRule="auto"/>
        <w:jc w:val="both"/>
        <w:rPr>
          <w:rFonts w:cstheme="minorHAnsi"/>
        </w:rPr>
      </w:pPr>
    </w:p>
    <w:p w14:paraId="25E16CC8" w14:textId="75B22463" w:rsidR="00767801" w:rsidRDefault="00767801" w:rsidP="000D1A53">
      <w:pPr>
        <w:spacing w:after="0" w:line="240" w:lineRule="auto"/>
        <w:jc w:val="both"/>
        <w:rPr>
          <w:i/>
        </w:rPr>
      </w:pPr>
      <w:r>
        <w:rPr>
          <w:i/>
        </w:rPr>
        <w:t xml:space="preserve">Host </w:t>
      </w:r>
      <w:r w:rsidR="00C70B59">
        <w:rPr>
          <w:i/>
        </w:rPr>
        <w:t>school districts</w:t>
      </w:r>
    </w:p>
    <w:p w14:paraId="394BAA33" w14:textId="77777777" w:rsidR="00767801" w:rsidRDefault="00767801" w:rsidP="000D1A53">
      <w:pPr>
        <w:spacing w:after="0" w:line="240" w:lineRule="auto"/>
        <w:jc w:val="both"/>
      </w:pPr>
    </w:p>
    <w:p w14:paraId="7681CB43" w14:textId="4AA3FA5C" w:rsidR="00EF7AAF" w:rsidRDefault="002327F4" w:rsidP="000D1A53">
      <w:pPr>
        <w:spacing w:after="0" w:line="240" w:lineRule="auto"/>
        <w:jc w:val="both"/>
      </w:pPr>
      <w:r>
        <w:t>In 2019-20 l</w:t>
      </w:r>
      <w:r w:rsidR="001250FE">
        <w:t>aboratory schools continu</w:t>
      </w:r>
      <w:r>
        <w:t xml:space="preserve">ed to </w:t>
      </w:r>
      <w:r w:rsidR="001250FE">
        <w:t>rel</w:t>
      </w:r>
      <w:r>
        <w:t>y</w:t>
      </w:r>
      <w:r w:rsidR="001250FE">
        <w:t xml:space="preserve"> on district partners for </w:t>
      </w:r>
      <w:r w:rsidR="000D1A53">
        <w:t>access to K-12 school facilities</w:t>
      </w:r>
      <w:r w:rsidR="00620771">
        <w:t xml:space="preserve"> (which the enabling laboratory school legislation did not provide), transportation and meal services, and operational supports ranging from IT and maintenance to guidance on NCDPI reporting processes. </w:t>
      </w:r>
      <w:r w:rsidR="000C7419">
        <w:t xml:space="preserve">Some laboratory schools </w:t>
      </w:r>
      <w:r w:rsidR="005B6782">
        <w:t>share support staff with district partners</w:t>
      </w:r>
      <w:r w:rsidR="00D27862">
        <w:t>,</w:t>
      </w:r>
      <w:r w:rsidR="005B6782">
        <w:t xml:space="preserve"> effectively transforming part-time into full-time positions.</w:t>
      </w:r>
    </w:p>
    <w:p w14:paraId="258A1E1F" w14:textId="3EB24EEC" w:rsidR="001D5948" w:rsidRDefault="001D5948" w:rsidP="000D1A53">
      <w:pPr>
        <w:spacing w:after="0" w:line="240" w:lineRule="auto"/>
        <w:jc w:val="both"/>
      </w:pPr>
    </w:p>
    <w:p w14:paraId="63B59CBA" w14:textId="2DDD48F2" w:rsidR="002A2B11" w:rsidRDefault="00F33681" w:rsidP="000D1A53">
      <w:pPr>
        <w:spacing w:after="0" w:line="240" w:lineRule="auto"/>
        <w:jc w:val="both"/>
      </w:pPr>
      <w:r>
        <w:t>During the</w:t>
      </w:r>
      <w:r w:rsidR="00467B74">
        <w:t xml:space="preserve"> 2020</w:t>
      </w:r>
      <w:r>
        <w:t xml:space="preserve"> summer session</w:t>
      </w:r>
      <w:r w:rsidR="00467B74">
        <w:t xml:space="preserve">, the state legislature amended the </w:t>
      </w:r>
      <w:r w:rsidR="001D5948">
        <w:t>laboratory school legislation</w:t>
      </w:r>
      <w:r w:rsidR="00B407D2">
        <w:t xml:space="preserve"> </w:t>
      </w:r>
      <w:r w:rsidR="007E233D">
        <w:t>t</w:t>
      </w:r>
      <w:r>
        <w:t>o</w:t>
      </w:r>
      <w:r w:rsidR="007E233D">
        <w:t xml:space="preserve"> expand the supports </w:t>
      </w:r>
      <w:r w:rsidR="002A2B11">
        <w:t xml:space="preserve">that host districts must provide to laboratory schools. Effective in the 2021-22 school year, these legislative changes provide: </w:t>
      </w:r>
    </w:p>
    <w:p w14:paraId="332EF390" w14:textId="2D55D8B4" w:rsidR="00B407D2" w:rsidRDefault="00B407D2" w:rsidP="00B407D2">
      <w:pPr>
        <w:pStyle w:val="ListParagraph"/>
        <w:numPr>
          <w:ilvl w:val="0"/>
          <w:numId w:val="17"/>
        </w:numPr>
        <w:spacing w:after="0" w:line="240" w:lineRule="auto"/>
        <w:jc w:val="both"/>
      </w:pPr>
      <w:r>
        <w:t>New guidance for determining costs to districts for providing facilities and other operational and maintenance services for laboratory schools</w:t>
      </w:r>
      <w:r w:rsidR="0093314A">
        <w:t>;</w:t>
      </w:r>
      <w:r w:rsidR="0093314A">
        <w:rPr>
          <w:rStyle w:val="FootnoteReference"/>
        </w:rPr>
        <w:footnoteReference w:id="30"/>
      </w:r>
    </w:p>
    <w:p w14:paraId="1A91B788" w14:textId="66EB6860" w:rsidR="007E233D" w:rsidRDefault="007E233D" w:rsidP="00B407D2">
      <w:pPr>
        <w:pStyle w:val="ListParagraph"/>
        <w:numPr>
          <w:ilvl w:val="0"/>
          <w:numId w:val="17"/>
        </w:numPr>
        <w:spacing w:after="0" w:line="240" w:lineRule="auto"/>
        <w:jc w:val="both"/>
      </w:pPr>
      <w:r>
        <w:t>New guidance on transportation that districts provide laboratory</w:t>
      </w:r>
      <w:r w:rsidR="00B327DA">
        <w:t xml:space="preserve"> schools</w:t>
      </w:r>
      <w:r w:rsidR="0093314A">
        <w:t>;</w:t>
      </w:r>
      <w:r w:rsidR="0093314A">
        <w:rPr>
          <w:rStyle w:val="FootnoteReference"/>
        </w:rPr>
        <w:footnoteReference w:id="31"/>
      </w:r>
    </w:p>
    <w:p w14:paraId="1FA864D3" w14:textId="47E92A12" w:rsidR="007E233D" w:rsidRDefault="00DE6959" w:rsidP="00B407D2">
      <w:pPr>
        <w:pStyle w:val="ListParagraph"/>
        <w:numPr>
          <w:ilvl w:val="0"/>
          <w:numId w:val="17"/>
        </w:numPr>
        <w:spacing w:after="0" w:line="240" w:lineRule="auto"/>
        <w:jc w:val="both"/>
      </w:pPr>
      <w:r>
        <w:t>An e</w:t>
      </w:r>
      <w:r w:rsidR="007E233D">
        <w:t>xpansion of mandatory supports for laboratory schools including services for students with disabilities</w:t>
      </w:r>
      <w:r w:rsidR="00815B95">
        <w:t>;</w:t>
      </w:r>
      <w:r w:rsidR="007E233D">
        <w:t xml:space="preserve"> child and family support services (e.g., social worker and school nurse services)</w:t>
      </w:r>
      <w:r w:rsidR="00815B95">
        <w:t>;</w:t>
      </w:r>
      <w:r w:rsidR="007E233D">
        <w:t xml:space="preserve"> health services, including dental and vision screenings, and similar health services that districts provide to ot</w:t>
      </w:r>
      <w:r w:rsidR="00044C15">
        <w:t>her students; parent involvement coordination services</w:t>
      </w:r>
      <w:r w:rsidR="00F93ACB">
        <w:t>;</w:t>
      </w:r>
      <w:r w:rsidR="00044C15">
        <w:t xml:space="preserve"> and school counselor services.</w:t>
      </w:r>
      <w:r w:rsidR="0093314A">
        <w:rPr>
          <w:rStyle w:val="FootnoteReference"/>
        </w:rPr>
        <w:footnoteReference w:id="32"/>
      </w:r>
    </w:p>
    <w:p w14:paraId="7828D384" w14:textId="51476125" w:rsidR="001D5948" w:rsidRDefault="001D5948" w:rsidP="000D1A53">
      <w:pPr>
        <w:spacing w:after="0" w:line="240" w:lineRule="auto"/>
        <w:jc w:val="both"/>
      </w:pPr>
    </w:p>
    <w:p w14:paraId="2F89330D" w14:textId="6F3DD9A8" w:rsidR="002A2B11" w:rsidRDefault="00807366" w:rsidP="000D1A53">
      <w:pPr>
        <w:spacing w:after="0" w:line="240" w:lineRule="auto"/>
        <w:jc w:val="both"/>
      </w:pPr>
      <w:r>
        <w:t>Though</w:t>
      </w:r>
      <w:r w:rsidR="004F5782">
        <w:t xml:space="preserve"> it is</w:t>
      </w:r>
      <w:r>
        <w:t xml:space="preserve"> still too early to fully assess the benefits of laboratory school</w:t>
      </w:r>
      <w:r w:rsidR="00815B95">
        <w:t>s</w:t>
      </w:r>
      <w:r>
        <w:t xml:space="preserve"> to </w:t>
      </w:r>
      <w:r w:rsidR="00B66493">
        <w:t xml:space="preserve">their </w:t>
      </w:r>
      <w:r>
        <w:t xml:space="preserve">district partners, </w:t>
      </w:r>
      <w:r w:rsidR="00B66493">
        <w:t>both parties</w:t>
      </w:r>
      <w:r>
        <w:t xml:space="preserve"> anticipate that students who matriculate from laboratory schools and return to district schools will be better positioned for academic success. To date,</w:t>
      </w:r>
      <w:r w:rsidR="00A302B9">
        <w:t xml:space="preserve"> </w:t>
      </w:r>
      <w:r w:rsidR="002A2B11">
        <w:t>The Catamount School (WCU) has graduated three classes of 8</w:t>
      </w:r>
      <w:r w:rsidR="002A2B11" w:rsidRPr="002A2B11">
        <w:rPr>
          <w:vertAlign w:val="superscript"/>
        </w:rPr>
        <w:t>th</w:t>
      </w:r>
      <w:r w:rsidR="002A2B11">
        <w:t xml:space="preserve"> graders and D.C. Virgo Preparatory Academy (UNCW) has graduated two classes. </w:t>
      </w:r>
      <w:r w:rsidR="00034E0D">
        <w:t>Some of these students have gone on to enroll in district early college high schools. Eighth graders attending The Catamount School who move into ninth grade at the high school where the laboratory school is co-located are already familiar with the facility and some of the staff. According to school leaders, this familiarity makes the transition easier for students.</w:t>
      </w:r>
    </w:p>
    <w:p w14:paraId="4BFF6EEC" w14:textId="77777777" w:rsidR="002A2B11" w:rsidRDefault="002A2B11" w:rsidP="000D1A53">
      <w:pPr>
        <w:spacing w:after="0" w:line="240" w:lineRule="auto"/>
        <w:jc w:val="both"/>
      </w:pPr>
    </w:p>
    <w:p w14:paraId="7F42D031" w14:textId="37C2B925" w:rsidR="00792CE7" w:rsidRDefault="00A302B9" w:rsidP="00E148F3">
      <w:pPr>
        <w:spacing w:after="0" w:line="240" w:lineRule="auto"/>
        <w:jc w:val="both"/>
      </w:pPr>
      <w:r>
        <w:t xml:space="preserve">Laboratory schools also </w:t>
      </w:r>
      <w:r w:rsidR="00506F1D">
        <w:t>br</w:t>
      </w:r>
      <w:r>
        <w:t>ought</w:t>
      </w:r>
      <w:r w:rsidR="00506F1D">
        <w:t xml:space="preserve"> resources into high-need schools, including capital improvements, expert instruction for high-need students, and </w:t>
      </w:r>
      <w:r w:rsidR="00F93ACB">
        <w:t>professional development</w:t>
      </w:r>
      <w:r w:rsidR="004A20CC">
        <w:t xml:space="preserve"> </w:t>
      </w:r>
      <w:r w:rsidR="00506F1D">
        <w:t>for</w:t>
      </w:r>
      <w:r w:rsidR="004A20CC">
        <w:t xml:space="preserve"> district </w:t>
      </w:r>
      <w:r w:rsidR="001C7336">
        <w:t>staff</w:t>
      </w:r>
      <w:r w:rsidR="00E148F3">
        <w:t xml:space="preserve">. For example, WCU </w:t>
      </w:r>
      <w:r w:rsidR="00E148F3">
        <w:lastRenderedPageBreak/>
        <w:t>helped the district finance improvements to an existing multi-purpose space that its laboratory school will share with its co-located district school</w:t>
      </w:r>
      <w:r w:rsidR="00792CE7">
        <w:t>. The ECU Community School included South Greenville Elementary School teachers and assistants, COE students serving internships at other Pitt County Schools, and substitute teachers in various professional development offerings in spring 2019.</w:t>
      </w:r>
    </w:p>
    <w:p w14:paraId="672FACF8" w14:textId="77777777" w:rsidR="00792CE7" w:rsidRDefault="00792CE7" w:rsidP="00E148F3">
      <w:pPr>
        <w:spacing w:after="0" w:line="240" w:lineRule="auto"/>
        <w:jc w:val="both"/>
      </w:pPr>
    </w:p>
    <w:p w14:paraId="13E4FCA8" w14:textId="42355BDD" w:rsidR="00767801" w:rsidRDefault="003A23F3" w:rsidP="007F20F3">
      <w:pPr>
        <w:spacing w:after="0" w:line="240" w:lineRule="auto"/>
        <w:jc w:val="both"/>
        <w:rPr>
          <w:i/>
        </w:rPr>
      </w:pPr>
      <w:r w:rsidRPr="0074674A">
        <w:rPr>
          <w:i/>
        </w:rPr>
        <w:t>C</w:t>
      </w:r>
      <w:r w:rsidR="00E71198" w:rsidRPr="0074674A">
        <w:rPr>
          <w:i/>
        </w:rPr>
        <w:t>ollege</w:t>
      </w:r>
      <w:r w:rsidR="007F20F3">
        <w:rPr>
          <w:i/>
        </w:rPr>
        <w:t>s</w:t>
      </w:r>
      <w:r w:rsidR="00E71198" w:rsidRPr="0074674A">
        <w:rPr>
          <w:i/>
        </w:rPr>
        <w:t xml:space="preserve"> of Educa</w:t>
      </w:r>
      <w:r w:rsidR="00767801">
        <w:rPr>
          <w:i/>
        </w:rPr>
        <w:t>tion</w:t>
      </w:r>
    </w:p>
    <w:p w14:paraId="1411F72B" w14:textId="77777777" w:rsidR="008C623E" w:rsidRDefault="008C623E" w:rsidP="007F20F3">
      <w:pPr>
        <w:spacing w:after="0" w:line="240" w:lineRule="auto"/>
        <w:jc w:val="both"/>
        <w:rPr>
          <w:i/>
        </w:rPr>
      </w:pPr>
    </w:p>
    <w:p w14:paraId="7718986C" w14:textId="5C53CBA7" w:rsidR="00AF53D4" w:rsidRDefault="00951F5A" w:rsidP="005105D0">
      <w:pPr>
        <w:spacing w:after="0" w:line="240" w:lineRule="auto"/>
        <w:jc w:val="both"/>
      </w:pPr>
      <w:r>
        <w:t>Colleges of Education (COE)</w:t>
      </w:r>
      <w:r w:rsidR="007B5861">
        <w:t xml:space="preserve"> </w:t>
      </w:r>
      <w:r w:rsidR="00C12337">
        <w:t>are</w:t>
      </w:r>
      <w:r w:rsidR="007B5861">
        <w:t xml:space="preserve"> fundamental lab</w:t>
      </w:r>
      <w:r w:rsidR="008C162E">
        <w:t>oratory</w:t>
      </w:r>
      <w:r w:rsidR="007B5861">
        <w:t xml:space="preserve"> school partner</w:t>
      </w:r>
      <w:r w:rsidR="008C162E">
        <w:t>s.</w:t>
      </w:r>
      <w:r w:rsidR="00C12337">
        <w:t xml:space="preserve"> </w:t>
      </w:r>
      <w:r w:rsidR="00792CE7">
        <w:t>University c</w:t>
      </w:r>
      <w:r w:rsidR="007B5861">
        <w:t>hancellors are titular heads of laboratory schools</w:t>
      </w:r>
      <w:r w:rsidR="00AF53D4">
        <w:t>,</w:t>
      </w:r>
      <w:r w:rsidR="008C162E">
        <w:t xml:space="preserve"> while</w:t>
      </w:r>
      <w:r w:rsidR="007B5861">
        <w:t xml:space="preserve"> COE deans </w:t>
      </w:r>
      <w:r w:rsidR="008C162E">
        <w:t xml:space="preserve">(or their designees) </w:t>
      </w:r>
      <w:r w:rsidR="007B5861">
        <w:t>have primary oversight responsibilities</w:t>
      </w:r>
      <w:r w:rsidR="005B50AD">
        <w:t xml:space="preserve"> and are engaged in the day-to-day operation of laboratory schools</w:t>
      </w:r>
      <w:r w:rsidR="00091E8F">
        <w:t xml:space="preserve">. COE deans (and/or their designees) work closely with school-based leadership teams. </w:t>
      </w:r>
      <w:r w:rsidR="006118FD">
        <w:t xml:space="preserve">COE faculty engagement </w:t>
      </w:r>
      <w:r w:rsidR="006D66FC">
        <w:t xml:space="preserve">onsite </w:t>
      </w:r>
      <w:r w:rsidR="006118FD">
        <w:t>at laboratory schools occurs in several forms</w:t>
      </w:r>
      <w:r w:rsidR="009E641D">
        <w:t xml:space="preserve">. </w:t>
      </w:r>
      <w:proofErr w:type="gramStart"/>
      <w:r w:rsidR="00F74E1F">
        <w:t>As planning and implementation partners, COE faculty</w:t>
      </w:r>
      <w:proofErr w:type="gramEnd"/>
      <w:r w:rsidR="00F74E1F">
        <w:t xml:space="preserve"> have provided professional development relevant to specific laboratory school needs since inception. </w:t>
      </w:r>
      <w:r w:rsidR="009E641D">
        <w:t>Fa</w:t>
      </w:r>
      <w:r w:rsidR="006118FD">
        <w:t>culty support instruction and curriculum implementation as faculty-in-residence</w:t>
      </w:r>
      <w:r w:rsidR="00AF53D4">
        <w:t xml:space="preserve">, </w:t>
      </w:r>
      <w:r w:rsidR="002A7519">
        <w:t xml:space="preserve">as </w:t>
      </w:r>
      <w:r w:rsidR="006118FD">
        <w:t xml:space="preserve">instructors teaching </w:t>
      </w:r>
      <w:r w:rsidR="006D66FC">
        <w:t xml:space="preserve">onsite </w:t>
      </w:r>
      <w:r w:rsidR="006118FD">
        <w:t>methods courses</w:t>
      </w:r>
      <w:r w:rsidR="00AF53D4">
        <w:t>,</w:t>
      </w:r>
      <w:r w:rsidR="006118FD">
        <w:t xml:space="preserve"> or </w:t>
      </w:r>
      <w:r w:rsidR="00AF53D4">
        <w:t xml:space="preserve">as field </w:t>
      </w:r>
      <w:r w:rsidR="005E61BD">
        <w:t xml:space="preserve">experience </w:t>
      </w:r>
      <w:r w:rsidR="00AF53D4">
        <w:t xml:space="preserve">supervisors supporting COE students in clinical activities. </w:t>
      </w:r>
      <w:r w:rsidR="006D66FC">
        <w:t xml:space="preserve">In each of these roles, COE faculty may </w:t>
      </w:r>
      <w:r w:rsidR="006118FD">
        <w:t>provide modeling and feedback opportunities for laboratory school staff as they work with COE students</w:t>
      </w:r>
      <w:r w:rsidR="006D66FC">
        <w:t xml:space="preserve">. </w:t>
      </w:r>
      <w:r w:rsidR="006118FD">
        <w:t>COE faculty who are deeply engaged in instruction at laboratory school</w:t>
      </w:r>
      <w:r w:rsidR="001213E8">
        <w:t>s—</w:t>
      </w:r>
      <w:r w:rsidR="006118FD">
        <w:t>whether</w:t>
      </w:r>
      <w:r w:rsidR="001213E8">
        <w:t xml:space="preserve"> </w:t>
      </w:r>
      <w:r w:rsidR="006118FD">
        <w:t>working with teachers or supervising COE students</w:t>
      </w:r>
      <w:r w:rsidR="001213E8">
        <w:t>—</w:t>
      </w:r>
      <w:r w:rsidR="006118FD">
        <w:t>have</w:t>
      </w:r>
      <w:r w:rsidR="001213E8">
        <w:t xml:space="preserve"> </w:t>
      </w:r>
      <w:r w:rsidR="006118FD">
        <w:t>first-hand exposure to school operation</w:t>
      </w:r>
      <w:r w:rsidR="00091E8F">
        <w:t>s</w:t>
      </w:r>
      <w:r w:rsidR="006118FD">
        <w:t xml:space="preserve"> and </w:t>
      </w:r>
      <w:r w:rsidR="001213E8">
        <w:t xml:space="preserve">the </w:t>
      </w:r>
      <w:r w:rsidR="006118FD">
        <w:t xml:space="preserve">challenges that public schools face </w:t>
      </w:r>
      <w:r w:rsidR="00AF53D4">
        <w:t xml:space="preserve">in meeting </w:t>
      </w:r>
      <w:r w:rsidR="006118FD">
        <w:t>the needs of diverse and high-need student populations.</w:t>
      </w:r>
      <w:r w:rsidR="009E641D">
        <w:t xml:space="preserve"> </w:t>
      </w:r>
      <w:r w:rsidR="00AF53D4">
        <w:t>A</w:t>
      </w:r>
      <w:r w:rsidR="009E641D">
        <w:t>n ongoing c</w:t>
      </w:r>
      <w:r w:rsidR="006118FD">
        <w:t xml:space="preserve">hallenge </w:t>
      </w:r>
      <w:r w:rsidR="009E641D">
        <w:t>for COEs is finding ways to i</w:t>
      </w:r>
      <w:r w:rsidR="006118FD">
        <w:t xml:space="preserve">ncrease </w:t>
      </w:r>
      <w:r w:rsidR="00F50B84">
        <w:t xml:space="preserve">and sustain </w:t>
      </w:r>
      <w:r w:rsidR="009E641D">
        <w:t xml:space="preserve">faculty </w:t>
      </w:r>
      <w:r w:rsidR="006118FD">
        <w:t xml:space="preserve">exposure </w:t>
      </w:r>
      <w:r w:rsidR="009E641D">
        <w:t>and engagement with laboratory schools</w:t>
      </w:r>
      <w:r w:rsidR="00AF53D4">
        <w:t>. This is particularly challenging given university incentive structures and other responsibilities that COE faculty have.</w:t>
      </w:r>
    </w:p>
    <w:p w14:paraId="4B953BE0" w14:textId="77777777" w:rsidR="00AF53D4" w:rsidRDefault="00AF53D4" w:rsidP="005105D0">
      <w:pPr>
        <w:spacing w:after="0" w:line="240" w:lineRule="auto"/>
        <w:jc w:val="both"/>
      </w:pPr>
    </w:p>
    <w:p w14:paraId="0D76C2EE" w14:textId="08109266" w:rsidR="00AF53D4" w:rsidRDefault="008723C7" w:rsidP="00B15A96">
      <w:pPr>
        <w:spacing w:after="0" w:line="240" w:lineRule="auto"/>
        <w:jc w:val="both"/>
      </w:pPr>
      <w:r>
        <w:t xml:space="preserve">The </w:t>
      </w:r>
      <w:r w:rsidR="005105D0">
        <w:t>COE</w:t>
      </w:r>
      <w:r>
        <w:t xml:space="preserve"> partnership has also helped laboratory schools recruit and identify</w:t>
      </w:r>
      <w:r w:rsidR="00AF53D4">
        <w:t xml:space="preserve"> teachers to work in laboratory schools. Several laboratory schools have hired teachers who earned degrees from their partner institution. COEs are also beginning to provide a pool of graduates who had pre-service experiences at the laboratory school from which they (or other low-performing schools) may hire teachers.</w:t>
      </w:r>
    </w:p>
    <w:p w14:paraId="259054CE" w14:textId="77777777" w:rsidR="00AF53D4" w:rsidRDefault="00AF53D4" w:rsidP="00B15A96">
      <w:pPr>
        <w:spacing w:after="0" w:line="240" w:lineRule="auto"/>
        <w:jc w:val="both"/>
      </w:pPr>
    </w:p>
    <w:p w14:paraId="75EB426A" w14:textId="1E0E4C10" w:rsidR="00767801" w:rsidRDefault="0074674A" w:rsidP="00952D36">
      <w:pPr>
        <w:spacing w:after="0" w:line="240" w:lineRule="auto"/>
        <w:jc w:val="both"/>
        <w:rPr>
          <w:i/>
        </w:rPr>
      </w:pPr>
      <w:r w:rsidRPr="00A57C26">
        <w:rPr>
          <w:i/>
        </w:rPr>
        <w:t>Oth</w:t>
      </w:r>
      <w:r w:rsidR="00767801">
        <w:rPr>
          <w:i/>
        </w:rPr>
        <w:t xml:space="preserve">er </w:t>
      </w:r>
      <w:r w:rsidR="00C70B59">
        <w:rPr>
          <w:i/>
        </w:rPr>
        <w:t>divisions of the university</w:t>
      </w:r>
    </w:p>
    <w:p w14:paraId="3E084D74" w14:textId="4E1BA72A" w:rsidR="00767801" w:rsidRDefault="00767801" w:rsidP="00952D36">
      <w:pPr>
        <w:spacing w:after="0" w:line="240" w:lineRule="auto"/>
        <w:jc w:val="both"/>
        <w:rPr>
          <w:i/>
        </w:rPr>
      </w:pPr>
    </w:p>
    <w:p w14:paraId="48BF516F" w14:textId="5FFABC39" w:rsidR="00023E54" w:rsidRDefault="00BD482D" w:rsidP="00BD482D">
      <w:pPr>
        <w:spacing w:after="0" w:line="240" w:lineRule="auto"/>
        <w:jc w:val="both"/>
      </w:pPr>
      <w:r>
        <w:t xml:space="preserve">Partnerships within </w:t>
      </w:r>
      <w:r w:rsidR="00C949EB">
        <w:t xml:space="preserve">UNC System institutions </w:t>
      </w:r>
      <w:r w:rsidR="00023E54">
        <w:t>provide laboratory schools</w:t>
      </w:r>
      <w:r w:rsidR="007C5692">
        <w:t xml:space="preserve"> with</w:t>
      </w:r>
      <w:r w:rsidR="00023E54">
        <w:t xml:space="preserve"> services </w:t>
      </w:r>
      <w:r w:rsidR="007C5692">
        <w:t xml:space="preserve">that are </w:t>
      </w:r>
      <w:r w:rsidR="00023E54">
        <w:t>critical to school operation and resources needed to address the particular needs of laboratory school students and staff</w:t>
      </w:r>
      <w:r w:rsidR="00C949EB">
        <w:t xml:space="preserve">. </w:t>
      </w:r>
      <w:r w:rsidR="00EF49B2">
        <w:t xml:space="preserve">Whereas COE planning teams tend to support coordination of partnerships as laboratory schools launch, that function becomes centralized within school-based leadership teams as schools become more established.  </w:t>
      </w:r>
    </w:p>
    <w:p w14:paraId="22AA711F" w14:textId="77777777" w:rsidR="00023E54" w:rsidRDefault="00023E54" w:rsidP="00BD482D">
      <w:pPr>
        <w:spacing w:after="0" w:line="240" w:lineRule="auto"/>
        <w:jc w:val="both"/>
      </w:pPr>
    </w:p>
    <w:p w14:paraId="7FAF3D1E" w14:textId="544A5308" w:rsidR="00DE5BF5" w:rsidRDefault="00023E54" w:rsidP="00BD482D">
      <w:pPr>
        <w:spacing w:after="0" w:line="240" w:lineRule="auto"/>
        <w:jc w:val="both"/>
      </w:pPr>
      <w:r>
        <w:t>In the 2019-20 school year, u</w:t>
      </w:r>
      <w:r w:rsidR="001213E8">
        <w:t>niversity institutions continue</w:t>
      </w:r>
      <w:r>
        <w:t>d</w:t>
      </w:r>
      <w:r w:rsidR="001213E8">
        <w:t xml:space="preserve"> to provide laboratory schools b</w:t>
      </w:r>
      <w:r w:rsidR="00035EB5">
        <w:t>usiness and administrative o</w:t>
      </w:r>
      <w:r w:rsidR="00DE5BF5">
        <w:t>perational supports</w:t>
      </w:r>
      <w:r w:rsidR="009676BA">
        <w:t xml:space="preserve"> </w:t>
      </w:r>
      <w:r w:rsidR="00077064">
        <w:t>(e.g., finance</w:t>
      </w:r>
      <w:r w:rsidR="00035EB5">
        <w:t xml:space="preserve"> and accounting</w:t>
      </w:r>
      <w:r w:rsidR="00077064">
        <w:t xml:space="preserve">, </w:t>
      </w:r>
      <w:r w:rsidR="00C949EB">
        <w:t>human resources, legal, and data reporting)</w:t>
      </w:r>
      <w:r w:rsidR="00077064">
        <w:t xml:space="preserve"> </w:t>
      </w:r>
      <w:r w:rsidR="001213E8">
        <w:t>that local educational agencies provide to trad</w:t>
      </w:r>
      <w:r w:rsidR="00BD482D">
        <w:t>itional district schools. However, these functions have become systematized within university divisions and offices after two to three years of laboratory school operation.</w:t>
      </w:r>
    </w:p>
    <w:p w14:paraId="42603578" w14:textId="7FF01515" w:rsidR="00023E54" w:rsidRDefault="00023E54" w:rsidP="00BD482D">
      <w:pPr>
        <w:spacing w:after="0" w:line="240" w:lineRule="auto"/>
        <w:jc w:val="both"/>
      </w:pPr>
    </w:p>
    <w:p w14:paraId="603CC4EB" w14:textId="5CB5F683" w:rsidR="007C5692" w:rsidRDefault="00C949EB" w:rsidP="00C47622">
      <w:pPr>
        <w:spacing w:after="0" w:line="240" w:lineRule="auto"/>
        <w:jc w:val="both"/>
      </w:pPr>
      <w:r>
        <w:t xml:space="preserve">Other institution partners help laboratory schools </w:t>
      </w:r>
      <w:r w:rsidR="009676BA">
        <w:t>address non-academic student needs</w:t>
      </w:r>
      <w:r w:rsidR="007169F5">
        <w:t xml:space="preserve">. </w:t>
      </w:r>
      <w:r>
        <w:t xml:space="preserve">Pre-service candidates from disciplines including counseling, social work, nursing, and speech therapy </w:t>
      </w:r>
      <w:r w:rsidR="007169F5">
        <w:t xml:space="preserve">gain clinical intern experience by </w:t>
      </w:r>
      <w:r>
        <w:t>provid</w:t>
      </w:r>
      <w:r w:rsidR="007169F5">
        <w:t>ing</w:t>
      </w:r>
      <w:r>
        <w:t xml:space="preserve"> s</w:t>
      </w:r>
      <w:r w:rsidR="002501DC">
        <w:t xml:space="preserve">ervice-oriented supports </w:t>
      </w:r>
      <w:r w:rsidR="00A2359C">
        <w:t xml:space="preserve">to </w:t>
      </w:r>
      <w:r>
        <w:t xml:space="preserve">laboratory school </w:t>
      </w:r>
      <w:r w:rsidR="00A2359C">
        <w:t xml:space="preserve">students </w:t>
      </w:r>
      <w:r w:rsidR="007169F5">
        <w:t>a</w:t>
      </w:r>
      <w:r w:rsidR="00A2359C">
        <w:t>nd</w:t>
      </w:r>
      <w:r w:rsidR="007169F5">
        <w:t>/or</w:t>
      </w:r>
      <w:r w:rsidR="00A2359C">
        <w:t xml:space="preserve"> </w:t>
      </w:r>
      <w:r>
        <w:t xml:space="preserve">professional development </w:t>
      </w:r>
      <w:r w:rsidR="00A2359C">
        <w:t xml:space="preserve">for laboratory school staff </w:t>
      </w:r>
      <w:r>
        <w:t xml:space="preserve">on relevant topics </w:t>
      </w:r>
      <w:r w:rsidR="00A2359C">
        <w:t>(e.g., trauma)</w:t>
      </w:r>
      <w:r w:rsidR="00023E54">
        <w:t>.</w:t>
      </w:r>
      <w:r w:rsidR="000D1942">
        <w:t xml:space="preserve"> </w:t>
      </w:r>
      <w:r w:rsidR="00EF49B2" w:rsidRPr="007169F5">
        <w:t xml:space="preserve">University institutions also provide laboratory schools </w:t>
      </w:r>
      <w:r w:rsidR="00582DDF" w:rsidRPr="007169F5">
        <w:t>access to university</w:t>
      </w:r>
      <w:r w:rsidR="007169F5" w:rsidRPr="007169F5">
        <w:t>-based</w:t>
      </w:r>
      <w:r w:rsidR="00582DDF" w:rsidRPr="007169F5">
        <w:t xml:space="preserve"> resources that enhance some aspect of the laboratory school model. For example, access to on campus maker spaces helps some </w:t>
      </w:r>
      <w:r w:rsidR="00582DDF" w:rsidRPr="007169F5">
        <w:lastRenderedPageBreak/>
        <w:t>laboratory schools emphasize experiential learning</w:t>
      </w:r>
      <w:r w:rsidR="007C5692">
        <w:t xml:space="preserve">; </w:t>
      </w:r>
      <w:r w:rsidR="00582DDF" w:rsidRPr="007169F5">
        <w:t>referrals to health providers help</w:t>
      </w:r>
      <w:r w:rsidR="007C5692">
        <w:t>s</w:t>
      </w:r>
      <w:r w:rsidR="00582DDF" w:rsidRPr="007169F5">
        <w:t xml:space="preserve"> some laboratory schools address </w:t>
      </w:r>
      <w:r w:rsidR="007C5692">
        <w:t>the physical well-being of laboratory school students.</w:t>
      </w:r>
    </w:p>
    <w:p w14:paraId="74A953A0" w14:textId="77777777" w:rsidR="00BD2743" w:rsidRDefault="00BD2743" w:rsidP="00064E84">
      <w:pPr>
        <w:spacing w:after="0" w:line="240" w:lineRule="auto"/>
        <w:jc w:val="both"/>
        <w:rPr>
          <w:i/>
        </w:rPr>
      </w:pPr>
    </w:p>
    <w:p w14:paraId="260F4C3E" w14:textId="1CE768B9" w:rsidR="00767801" w:rsidRDefault="00C70B59" w:rsidP="00064E84">
      <w:pPr>
        <w:spacing w:after="0" w:line="240" w:lineRule="auto"/>
        <w:jc w:val="both"/>
      </w:pPr>
      <w:r>
        <w:rPr>
          <w:i/>
        </w:rPr>
        <w:t>Community partners</w:t>
      </w:r>
    </w:p>
    <w:p w14:paraId="1BD90A41" w14:textId="77777777" w:rsidR="00767801" w:rsidRDefault="00767801" w:rsidP="00064E84">
      <w:pPr>
        <w:spacing w:after="0" w:line="240" w:lineRule="auto"/>
        <w:jc w:val="both"/>
      </w:pPr>
    </w:p>
    <w:p w14:paraId="2A6EBD02" w14:textId="0B4C544C" w:rsidR="008A35A5" w:rsidRDefault="00A14F22" w:rsidP="00064E84">
      <w:pPr>
        <w:spacing w:after="0" w:line="240" w:lineRule="auto"/>
        <w:jc w:val="both"/>
      </w:pPr>
      <w:r>
        <w:t xml:space="preserve">In their second and third years of operation, laboratory schools </w:t>
      </w:r>
      <w:r w:rsidR="00D56EB7">
        <w:t>var</w:t>
      </w:r>
      <w:r w:rsidR="00964D07">
        <w:t>ied</w:t>
      </w:r>
      <w:r w:rsidR="00D56EB7">
        <w:t xml:space="preserve"> in the way</w:t>
      </w:r>
      <w:r w:rsidR="00964D07">
        <w:t xml:space="preserve"> </w:t>
      </w:r>
      <w:r w:rsidR="00D56EB7">
        <w:t xml:space="preserve">and degree to which they </w:t>
      </w:r>
      <w:r>
        <w:t>leverag</w:t>
      </w:r>
      <w:r w:rsidR="00D56EB7">
        <w:t>e</w:t>
      </w:r>
      <w:r>
        <w:t xml:space="preserve"> community partners</w:t>
      </w:r>
      <w:r w:rsidR="00D56EB7">
        <w:t xml:space="preserve">. Generally, laboratory schools’ community partners </w:t>
      </w:r>
      <w:r w:rsidR="00D53394">
        <w:t xml:space="preserve">provide </w:t>
      </w:r>
      <w:r w:rsidR="00D56EB7">
        <w:t xml:space="preserve">several primary </w:t>
      </w:r>
      <w:r>
        <w:t>s</w:t>
      </w:r>
      <w:r w:rsidR="002327F4">
        <w:t>upports</w:t>
      </w:r>
      <w:r w:rsidR="00D56EB7">
        <w:t xml:space="preserve">, including help to </w:t>
      </w:r>
      <w:r w:rsidR="00D53394">
        <w:t xml:space="preserve">address students’ basic needs (e.g., backpack programs providing food for weekends), literacy development (e.g., </w:t>
      </w:r>
      <w:r w:rsidR="00D56EB7">
        <w:t xml:space="preserve">donating </w:t>
      </w:r>
      <w:r w:rsidR="00D53394">
        <w:t xml:space="preserve">reading materials, </w:t>
      </w:r>
      <w:r w:rsidR="00D56EB7">
        <w:t xml:space="preserve">recruiting </w:t>
      </w:r>
      <w:r w:rsidR="00D53394">
        <w:t xml:space="preserve">reading buddies), </w:t>
      </w:r>
      <w:r w:rsidR="00C31094">
        <w:t>mental health needs (e.g., counseling services),</w:t>
      </w:r>
      <w:r w:rsidR="008A35A5">
        <w:t xml:space="preserve"> and the expansion of enrichment activities during school (e.g. field trips to community sites) and during after school programming (e.g. activities organized by local Boys and Girls clubs).</w:t>
      </w:r>
    </w:p>
    <w:p w14:paraId="1FF0BBB1" w14:textId="77777777" w:rsidR="00C31094" w:rsidRDefault="00C31094" w:rsidP="00064E84">
      <w:pPr>
        <w:spacing w:after="0" w:line="240" w:lineRule="auto"/>
        <w:jc w:val="both"/>
      </w:pPr>
    </w:p>
    <w:p w14:paraId="7AD72BB1" w14:textId="12201576" w:rsidR="00C31094" w:rsidRDefault="005F4A1A" w:rsidP="00064E84">
      <w:pPr>
        <w:spacing w:after="0" w:line="240" w:lineRule="auto"/>
        <w:jc w:val="both"/>
      </w:pPr>
      <w:r>
        <w:t xml:space="preserve">As UNCC prepared to open its laboratory school, </w:t>
      </w:r>
      <w:r w:rsidR="00C205CB">
        <w:t xml:space="preserve">COE faculty from the early childhood master’s degree program planned to </w:t>
      </w:r>
      <w:r w:rsidR="001A5DDA">
        <w:t xml:space="preserve">collaborate with in-home </w:t>
      </w:r>
      <w:r w:rsidR="00684B28">
        <w:t>child</w:t>
      </w:r>
      <w:r w:rsidR="001A5DDA">
        <w:t>care operators serving the community where the laboratory school is located.</w:t>
      </w:r>
      <w:r w:rsidR="00C31094">
        <w:t xml:space="preserve"> When discussing community needs with the UNCC laboratory school planning team, community leaders, residents, and operators identified a need for support and professional development to enhance these programs. The UNCC planning team envisions that work with area </w:t>
      </w:r>
      <w:r w:rsidR="00684B28">
        <w:t>child</w:t>
      </w:r>
      <w:r w:rsidR="00C31094">
        <w:t>care providers will also help with student recruitment in the future.</w:t>
      </w:r>
    </w:p>
    <w:p w14:paraId="3549C311" w14:textId="77777777" w:rsidR="00C31094" w:rsidRDefault="00C31094" w:rsidP="00064E84">
      <w:pPr>
        <w:spacing w:after="0" w:line="240" w:lineRule="auto"/>
        <w:jc w:val="both"/>
      </w:pPr>
    </w:p>
    <w:p w14:paraId="5CDCE843" w14:textId="57F7EE81" w:rsidR="003A23F3" w:rsidRDefault="003A23F3" w:rsidP="001A0821">
      <w:pPr>
        <w:jc w:val="both"/>
        <w:rPr>
          <w:b/>
          <w:i/>
        </w:rPr>
      </w:pPr>
      <w:r w:rsidRPr="00B16929">
        <w:rPr>
          <w:b/>
          <w:i/>
        </w:rPr>
        <w:t xml:space="preserve">Are laboratory </w:t>
      </w:r>
      <w:r w:rsidR="00BD6132">
        <w:rPr>
          <w:b/>
          <w:i/>
        </w:rPr>
        <w:t>s</w:t>
      </w:r>
      <w:r w:rsidRPr="00B16929">
        <w:rPr>
          <w:b/>
          <w:i/>
        </w:rPr>
        <w:t>chools successfully marketed and managed?</w:t>
      </w:r>
    </w:p>
    <w:p w14:paraId="21316886" w14:textId="25A34C09" w:rsidR="00077AAF" w:rsidRDefault="0069253B" w:rsidP="00617456">
      <w:pPr>
        <w:spacing w:after="0" w:line="240" w:lineRule="auto"/>
        <w:jc w:val="both"/>
        <w:rPr>
          <w:bCs/>
          <w:iCs/>
        </w:rPr>
      </w:pPr>
      <w:r w:rsidRPr="0069253B">
        <w:rPr>
          <w:bCs/>
          <w:iCs/>
        </w:rPr>
        <w:t>As in previous reports, the Evaluation Team addresse</w:t>
      </w:r>
      <w:r w:rsidR="003F713D">
        <w:rPr>
          <w:bCs/>
          <w:iCs/>
        </w:rPr>
        <w:t>d</w:t>
      </w:r>
      <w:r w:rsidRPr="0069253B">
        <w:rPr>
          <w:bCs/>
          <w:iCs/>
        </w:rPr>
        <w:t xml:space="preserve"> this evaluation question by considering the following: (1) the marketing of laboratory schools; (2) laboratory school admissions and enrollment priorities; (3) characteristics of students enrolled in laboratory schools; (4) school design; and (5) school management. Due to the COVID-19 pandemic and associated school closures, the Evaluation Team was unable to administer a parent/family survey in spring 2020. As such, an additional section focused on parent perceptions of laboratory schools is not included in this report.</w:t>
      </w:r>
    </w:p>
    <w:p w14:paraId="6CE79019" w14:textId="77777777" w:rsidR="00617456" w:rsidRPr="0069253B" w:rsidRDefault="00617456" w:rsidP="00617456">
      <w:pPr>
        <w:spacing w:after="0" w:line="240" w:lineRule="auto"/>
        <w:jc w:val="both"/>
        <w:rPr>
          <w:bCs/>
          <w:iCs/>
        </w:rPr>
      </w:pPr>
    </w:p>
    <w:p w14:paraId="73131A11" w14:textId="21CDEA41" w:rsidR="003A23F3" w:rsidRPr="00605F9E" w:rsidRDefault="003A23F3" w:rsidP="003A23F3">
      <w:pPr>
        <w:rPr>
          <w:i/>
        </w:rPr>
      </w:pPr>
      <w:r w:rsidRPr="00605F9E">
        <w:rPr>
          <w:i/>
        </w:rPr>
        <w:t>Marketing of laboratory schools</w:t>
      </w:r>
    </w:p>
    <w:p w14:paraId="298749E0" w14:textId="602FF131" w:rsidR="00A44938" w:rsidRDefault="00C70B59" w:rsidP="00C70B59">
      <w:pPr>
        <w:spacing w:after="0" w:line="240" w:lineRule="auto"/>
        <w:jc w:val="both"/>
        <w:rPr>
          <w:bCs/>
        </w:rPr>
      </w:pPr>
      <w:r>
        <w:t xml:space="preserve">Unlike traditional district schools serving neighborhoods or other attendance zones, laboratory schools must recruit students to enroll. </w:t>
      </w:r>
      <w:r w:rsidR="00C36A1E">
        <w:t xml:space="preserve">In the 2019-20 school year, </w:t>
      </w:r>
      <w:r w:rsidR="002327F4">
        <w:t>laboratory school</w:t>
      </w:r>
      <w:r w:rsidR="00C36A1E">
        <w:t xml:space="preserve">s could enroll </w:t>
      </w:r>
      <w:r w:rsidR="0039372F">
        <w:t xml:space="preserve">students who previously attended </w:t>
      </w:r>
      <w:r w:rsidR="0039372F" w:rsidRPr="00D41C60">
        <w:t>(or would have attended)</w:t>
      </w:r>
      <w:r w:rsidR="0039372F">
        <w:t xml:space="preserve"> a low-performing school</w:t>
      </w:r>
      <w:r w:rsidR="00C36A1E">
        <w:t xml:space="preserve">, </w:t>
      </w:r>
      <w:r w:rsidR="00587A54">
        <w:t xml:space="preserve">those who </w:t>
      </w:r>
      <w:r w:rsidR="002D405B">
        <w:t xml:space="preserve">did not meet expected growth </w:t>
      </w:r>
      <w:r w:rsidR="0039372F">
        <w:t xml:space="preserve">in the prior </w:t>
      </w:r>
      <w:r w:rsidR="002D405B">
        <w:t xml:space="preserve">school </w:t>
      </w:r>
      <w:r w:rsidR="0039372F">
        <w:t>year</w:t>
      </w:r>
      <w:r w:rsidR="00C36A1E">
        <w:t>, or siblings of children</w:t>
      </w:r>
      <w:r w:rsidR="00A44938">
        <w:t xml:space="preserve"> meeting these criteria</w:t>
      </w:r>
      <w:r w:rsidR="0039372F">
        <w:t>.</w:t>
      </w:r>
      <w:r w:rsidR="0039372F">
        <w:rPr>
          <w:rStyle w:val="FootnoteReference"/>
        </w:rPr>
        <w:footnoteReference w:id="33"/>
      </w:r>
      <w:r w:rsidR="0039372F">
        <w:t xml:space="preserve"> </w:t>
      </w:r>
      <w:r w:rsidR="00C36A1E">
        <w:rPr>
          <w:bCs/>
        </w:rPr>
        <w:t xml:space="preserve">Additional amendments enacted in 2020 expanded the eligibility criteria to include children of laboratory school </w:t>
      </w:r>
      <w:r w:rsidR="00E61F52">
        <w:rPr>
          <w:bCs/>
        </w:rPr>
        <w:t>staff</w:t>
      </w:r>
      <w:r w:rsidR="00C36A1E">
        <w:rPr>
          <w:bCs/>
        </w:rPr>
        <w:t xml:space="preserve">, and allow students not meeting any of the eligibility criteria to enroll if </w:t>
      </w:r>
      <w:r w:rsidR="0014038D">
        <w:rPr>
          <w:bCs/>
        </w:rPr>
        <w:t>(</w:t>
      </w:r>
      <w:r w:rsidR="00C36A1E">
        <w:rPr>
          <w:bCs/>
        </w:rPr>
        <w:t>1) they reside in the district where the laboratory school is located</w:t>
      </w:r>
      <w:r w:rsidR="0014038D">
        <w:rPr>
          <w:bCs/>
        </w:rPr>
        <w:t>;</w:t>
      </w:r>
      <w:r w:rsidR="00C36A1E">
        <w:rPr>
          <w:bCs/>
        </w:rPr>
        <w:t xml:space="preserve"> </w:t>
      </w:r>
      <w:r w:rsidR="0014038D">
        <w:rPr>
          <w:bCs/>
        </w:rPr>
        <w:t xml:space="preserve">(2) </w:t>
      </w:r>
      <w:r w:rsidR="00C36A1E">
        <w:rPr>
          <w:bCs/>
        </w:rPr>
        <w:t>the  laboratory school has not reached enrollment capacity by March 1 before the following school year</w:t>
      </w:r>
      <w:r w:rsidR="0014038D">
        <w:rPr>
          <w:bCs/>
        </w:rPr>
        <w:t xml:space="preserve">; </w:t>
      </w:r>
      <w:r w:rsidR="00C36A1E">
        <w:rPr>
          <w:bCs/>
        </w:rPr>
        <w:t xml:space="preserve">and </w:t>
      </w:r>
      <w:r w:rsidR="0014038D">
        <w:rPr>
          <w:bCs/>
        </w:rPr>
        <w:t>(3</w:t>
      </w:r>
      <w:r w:rsidR="00C36A1E">
        <w:rPr>
          <w:bCs/>
        </w:rPr>
        <w:t>) these students comprise under 20 percent of the school’s total capacity enrollment.</w:t>
      </w:r>
      <w:r w:rsidR="00C36A1E">
        <w:rPr>
          <w:rStyle w:val="FootnoteReference"/>
          <w:bCs/>
        </w:rPr>
        <w:footnoteReference w:id="34"/>
      </w:r>
      <w:r w:rsidR="00C36A1E">
        <w:rPr>
          <w:bCs/>
        </w:rPr>
        <w:t xml:space="preserve"> </w:t>
      </w:r>
    </w:p>
    <w:p w14:paraId="19C315D9" w14:textId="0ECE2838" w:rsidR="007803EB" w:rsidRDefault="007803EB" w:rsidP="002B457C">
      <w:pPr>
        <w:spacing w:after="0" w:line="240" w:lineRule="auto"/>
        <w:jc w:val="both"/>
      </w:pPr>
      <w:r>
        <w:lastRenderedPageBreak/>
        <w:t xml:space="preserve">Schools typically rely on </w:t>
      </w:r>
      <w:r w:rsidR="005A4D10">
        <w:t xml:space="preserve">several marketing strategies to publicize laboratory schools. These include </w:t>
      </w:r>
      <w:r>
        <w:t>social media</w:t>
      </w:r>
      <w:r w:rsidR="005A4D10">
        <w:t>;</w:t>
      </w:r>
      <w:r w:rsidR="00671183">
        <w:t xml:space="preserve"> recruiting events </w:t>
      </w:r>
      <w:r w:rsidR="005A4D10">
        <w:t xml:space="preserve">at the laboratory school, such as open houses and tours; meetings at </w:t>
      </w:r>
      <w:r w:rsidR="00C801AE">
        <w:t>community-based organizations</w:t>
      </w:r>
      <w:r w:rsidR="0014038D">
        <w:t>,</w:t>
      </w:r>
      <w:r w:rsidR="00FF2D8A">
        <w:t xml:space="preserve"> </w:t>
      </w:r>
      <w:r w:rsidR="005A4D10">
        <w:t xml:space="preserve">such as </w:t>
      </w:r>
      <w:r w:rsidR="00FF2D8A">
        <w:t>YMCAs</w:t>
      </w:r>
      <w:r w:rsidR="005A4D10">
        <w:t xml:space="preserve"> and</w:t>
      </w:r>
      <w:r w:rsidR="00FF2D8A">
        <w:t xml:space="preserve"> </w:t>
      </w:r>
      <w:r w:rsidR="0014038D">
        <w:t>B</w:t>
      </w:r>
      <w:r w:rsidR="00FF2D8A">
        <w:t xml:space="preserve">oys and </w:t>
      </w:r>
      <w:r w:rsidR="0014038D">
        <w:t>G</w:t>
      </w:r>
      <w:r w:rsidR="00FF2D8A">
        <w:t>irls clubs</w:t>
      </w:r>
      <w:r w:rsidR="005A4D10">
        <w:t xml:space="preserve">; information flyers and booths at university </w:t>
      </w:r>
      <w:r w:rsidR="00C801AE">
        <w:t>institution events</w:t>
      </w:r>
      <w:r w:rsidR="005A4D10">
        <w:t>, such as</w:t>
      </w:r>
      <w:r w:rsidR="00C801AE">
        <w:t xml:space="preserve"> Homecoming</w:t>
      </w:r>
      <w:r w:rsidR="005A4D10">
        <w:t xml:space="preserve">; </w:t>
      </w:r>
      <w:r w:rsidR="00671183">
        <w:t xml:space="preserve">outreach to local </w:t>
      </w:r>
      <w:r w:rsidR="00684B28">
        <w:t>child</w:t>
      </w:r>
      <w:r w:rsidR="00671183">
        <w:t>care</w:t>
      </w:r>
      <w:r w:rsidR="0014038D">
        <w:t xml:space="preserve"> and</w:t>
      </w:r>
      <w:r w:rsidR="00671183">
        <w:t xml:space="preserve"> pre</w:t>
      </w:r>
      <w:r w:rsidR="0014038D">
        <w:t>-</w:t>
      </w:r>
      <w:r w:rsidR="00671183">
        <w:t>K centers</w:t>
      </w:r>
      <w:r w:rsidR="005A4D10">
        <w:t>; and advertising through local print and broadcast media.</w:t>
      </w:r>
    </w:p>
    <w:p w14:paraId="4A151D79" w14:textId="77777777" w:rsidR="000E4412" w:rsidRDefault="000E4412" w:rsidP="002B457C">
      <w:pPr>
        <w:spacing w:after="0" w:line="240" w:lineRule="auto"/>
        <w:jc w:val="both"/>
      </w:pPr>
    </w:p>
    <w:p w14:paraId="6365E422" w14:textId="1BB4AB43" w:rsidR="00A44938" w:rsidRDefault="000E4412" w:rsidP="000C7419">
      <w:pPr>
        <w:spacing w:after="0" w:line="240" w:lineRule="auto"/>
        <w:jc w:val="both"/>
      </w:pPr>
      <w:r>
        <w:t xml:space="preserve">In 2019-20, </w:t>
      </w:r>
      <w:r w:rsidR="00BD1517">
        <w:t xml:space="preserve">existing </w:t>
      </w:r>
      <w:r>
        <w:t>laboratory schools refined implementation of these strategies. For example, s</w:t>
      </w:r>
      <w:r w:rsidR="00FF2D8A">
        <w:t xml:space="preserve">ome </w:t>
      </w:r>
      <w:r>
        <w:t xml:space="preserve">laboratory </w:t>
      </w:r>
      <w:r w:rsidR="00FF2D8A">
        <w:t xml:space="preserve">schools are working with COE or </w:t>
      </w:r>
      <w:r>
        <w:t xml:space="preserve">university </w:t>
      </w:r>
      <w:r w:rsidR="00FF2D8A">
        <w:t>institution offices that manage communications, community outreach, or marketing</w:t>
      </w:r>
      <w:r w:rsidR="00BD1517">
        <w:t xml:space="preserve"> and </w:t>
      </w:r>
      <w:r>
        <w:t xml:space="preserve">deploying marketing activities more </w:t>
      </w:r>
      <w:r w:rsidR="00653B77">
        <w:t>strategi</w:t>
      </w:r>
      <w:r>
        <w:t xml:space="preserve">cally (e.g., buying radio commercial time </w:t>
      </w:r>
      <w:r w:rsidR="00A44938">
        <w:t>during business commute time</w:t>
      </w:r>
      <w:r w:rsidR="0014038D">
        <w:t xml:space="preserve">, </w:t>
      </w:r>
      <w:r w:rsidR="00BD1517">
        <w:t xml:space="preserve">leasing </w:t>
      </w:r>
      <w:r w:rsidR="00A44938">
        <w:t>billboard</w:t>
      </w:r>
      <w:r w:rsidR="00BD1517">
        <w:t>s</w:t>
      </w:r>
      <w:r w:rsidR="00A44938">
        <w:t xml:space="preserve"> at key traffic areas</w:t>
      </w:r>
      <w:r w:rsidR="0014038D">
        <w:t>, and</w:t>
      </w:r>
      <w:r w:rsidR="00BD1517">
        <w:t xml:space="preserve"> d</w:t>
      </w:r>
      <w:r w:rsidR="00653B77">
        <w:t>evelop</w:t>
      </w:r>
      <w:r w:rsidR="00BD1517">
        <w:t>ing</w:t>
      </w:r>
      <w:r w:rsidR="00653B77">
        <w:t xml:space="preserve"> </w:t>
      </w:r>
      <w:r w:rsidR="00671183">
        <w:t xml:space="preserve">promotional </w:t>
      </w:r>
      <w:r w:rsidR="00A44938">
        <w:t>video</w:t>
      </w:r>
      <w:r w:rsidR="00671183">
        <w:t>s</w:t>
      </w:r>
      <w:r w:rsidR="00653B77">
        <w:t xml:space="preserve"> to use on websites, social media, and television commercials</w:t>
      </w:r>
      <w:r w:rsidR="00BD1517">
        <w:t>).</w:t>
      </w:r>
    </w:p>
    <w:p w14:paraId="19885E33" w14:textId="77777777" w:rsidR="00BD1517" w:rsidRDefault="00BD1517" w:rsidP="00653B77">
      <w:pPr>
        <w:spacing w:after="0" w:line="240" w:lineRule="auto"/>
        <w:jc w:val="both"/>
      </w:pPr>
    </w:p>
    <w:p w14:paraId="5CD67368" w14:textId="7E23A62A" w:rsidR="00653B77" w:rsidRDefault="00BD1517" w:rsidP="000C7419">
      <w:pPr>
        <w:spacing w:after="0" w:line="240" w:lineRule="auto"/>
        <w:jc w:val="both"/>
      </w:pPr>
      <w:r>
        <w:t xml:space="preserve">As a startup school, </w:t>
      </w:r>
      <w:r w:rsidR="00653B77">
        <w:t xml:space="preserve">UNCC </w:t>
      </w:r>
      <w:r>
        <w:t>relied on these strategies</w:t>
      </w:r>
      <w:r w:rsidR="00684B28">
        <w:t>,</w:t>
      </w:r>
      <w:r>
        <w:t xml:space="preserve"> but also engaged in door-to-door canvassing in </w:t>
      </w:r>
      <w:r w:rsidR="00653B77">
        <w:t xml:space="preserve">neighborhoods surrounding </w:t>
      </w:r>
      <w:r>
        <w:t xml:space="preserve">the laboratory school. UNCC’s COE </w:t>
      </w:r>
      <w:r w:rsidR="007054FA">
        <w:t>also began planning an initiative to provide professional development to a</w:t>
      </w:r>
      <w:r w:rsidR="00653B77">
        <w:t xml:space="preserve">rea </w:t>
      </w:r>
      <w:r w:rsidR="007054FA">
        <w:t xml:space="preserve">in-home </w:t>
      </w:r>
      <w:r w:rsidR="00653B77">
        <w:t xml:space="preserve">childcare centers </w:t>
      </w:r>
      <w:r w:rsidR="007054FA">
        <w:t>to enhance their service to the community. In time</w:t>
      </w:r>
      <w:r w:rsidR="00684B28">
        <w:t>,</w:t>
      </w:r>
      <w:r w:rsidR="007054FA">
        <w:t xml:space="preserve"> this partnership may</w:t>
      </w:r>
      <w:r w:rsidR="00653B77">
        <w:t xml:space="preserve"> lead to </w:t>
      </w:r>
      <w:r w:rsidR="007054FA">
        <w:t xml:space="preserve">enrollment </w:t>
      </w:r>
      <w:r w:rsidR="00653B77">
        <w:t xml:space="preserve">referrals </w:t>
      </w:r>
      <w:r w:rsidR="007054FA">
        <w:t xml:space="preserve">to the laboratory school. </w:t>
      </w:r>
    </w:p>
    <w:p w14:paraId="6D7CFD9D" w14:textId="15E9AD29" w:rsidR="008D0CD1" w:rsidRPr="001C50A2" w:rsidRDefault="007054FA" w:rsidP="0069061A">
      <w:pPr>
        <w:pStyle w:val="CommentText"/>
        <w:jc w:val="both"/>
        <w:rPr>
          <w:sz w:val="22"/>
          <w:szCs w:val="22"/>
        </w:rPr>
      </w:pPr>
      <w:r>
        <w:rPr>
          <w:sz w:val="22"/>
          <w:szCs w:val="22"/>
        </w:rPr>
        <w:br/>
      </w:r>
      <w:r w:rsidR="001C50A2">
        <w:rPr>
          <w:sz w:val="22"/>
          <w:szCs w:val="22"/>
        </w:rPr>
        <w:t>Laboratory school leaders recognize that a</w:t>
      </w:r>
      <w:r w:rsidR="001C50A2" w:rsidRPr="006A5F45">
        <w:rPr>
          <w:sz w:val="22"/>
          <w:szCs w:val="22"/>
        </w:rPr>
        <w:t xml:space="preserve">s </w:t>
      </w:r>
      <w:r w:rsidR="001C50A2">
        <w:rPr>
          <w:sz w:val="22"/>
          <w:szCs w:val="22"/>
        </w:rPr>
        <w:t xml:space="preserve">laboratory </w:t>
      </w:r>
      <w:r w:rsidR="001C50A2" w:rsidRPr="006A5F45">
        <w:rPr>
          <w:sz w:val="22"/>
          <w:szCs w:val="22"/>
        </w:rPr>
        <w:t xml:space="preserve">schools </w:t>
      </w:r>
      <w:r w:rsidR="001C50A2">
        <w:rPr>
          <w:sz w:val="22"/>
          <w:szCs w:val="22"/>
        </w:rPr>
        <w:t>become</w:t>
      </w:r>
      <w:r w:rsidR="001C50A2" w:rsidRPr="006A5F45">
        <w:rPr>
          <w:sz w:val="22"/>
          <w:szCs w:val="22"/>
        </w:rPr>
        <w:t xml:space="preserve"> established</w:t>
      </w:r>
      <w:r w:rsidR="001C50A2">
        <w:rPr>
          <w:sz w:val="22"/>
          <w:szCs w:val="22"/>
        </w:rPr>
        <w:t xml:space="preserve"> and community awareness of them increases, their reputations will help drive word-of-mouth referrals. </w:t>
      </w:r>
      <w:r w:rsidR="00684B28">
        <w:rPr>
          <w:sz w:val="22"/>
          <w:szCs w:val="22"/>
        </w:rPr>
        <w:t xml:space="preserve">Thus, </w:t>
      </w:r>
      <w:r w:rsidR="002E46B2">
        <w:rPr>
          <w:sz w:val="22"/>
          <w:szCs w:val="22"/>
        </w:rPr>
        <w:t>s</w:t>
      </w:r>
      <w:r w:rsidR="00653B77" w:rsidRPr="001C50A2">
        <w:rPr>
          <w:sz w:val="22"/>
          <w:szCs w:val="22"/>
        </w:rPr>
        <w:t xml:space="preserve">trategies that </w:t>
      </w:r>
      <w:r w:rsidR="001C50A2">
        <w:rPr>
          <w:sz w:val="22"/>
          <w:szCs w:val="22"/>
        </w:rPr>
        <w:t>aim to improve school and student performance</w:t>
      </w:r>
      <w:r>
        <w:rPr>
          <w:sz w:val="22"/>
          <w:szCs w:val="22"/>
        </w:rPr>
        <w:t xml:space="preserve"> and otherwise keep families satisfied </w:t>
      </w:r>
      <w:r w:rsidR="002E46B2">
        <w:rPr>
          <w:sz w:val="22"/>
          <w:szCs w:val="22"/>
        </w:rPr>
        <w:t xml:space="preserve">are also important </w:t>
      </w:r>
      <w:r>
        <w:rPr>
          <w:sz w:val="22"/>
          <w:szCs w:val="22"/>
        </w:rPr>
        <w:t xml:space="preserve">marketing and </w:t>
      </w:r>
      <w:r w:rsidR="002E46B2">
        <w:rPr>
          <w:sz w:val="22"/>
          <w:szCs w:val="22"/>
        </w:rPr>
        <w:t>recruitment strategies</w:t>
      </w:r>
      <w:r w:rsidR="00C17061">
        <w:rPr>
          <w:sz w:val="22"/>
          <w:szCs w:val="22"/>
        </w:rPr>
        <w:t xml:space="preserve">. </w:t>
      </w:r>
    </w:p>
    <w:p w14:paraId="4BBBAE35" w14:textId="2884EC58" w:rsidR="0002510D" w:rsidRDefault="000C0495" w:rsidP="00C70B59">
      <w:pPr>
        <w:spacing w:after="0" w:line="240" w:lineRule="auto"/>
        <w:jc w:val="both"/>
        <w:rPr>
          <w:bCs/>
        </w:rPr>
      </w:pPr>
      <w:r>
        <w:rPr>
          <w:bCs/>
        </w:rPr>
        <w:t>The outbreak of C</w:t>
      </w:r>
      <w:r w:rsidR="0069061A">
        <w:rPr>
          <w:bCs/>
        </w:rPr>
        <w:t>OVID</w:t>
      </w:r>
      <w:r>
        <w:rPr>
          <w:bCs/>
        </w:rPr>
        <w:t xml:space="preserve">-19 in spring 2020 </w:t>
      </w:r>
      <w:r w:rsidR="00DA5268">
        <w:rPr>
          <w:bCs/>
        </w:rPr>
        <w:t>significantly</w:t>
      </w:r>
      <w:r w:rsidR="003441A4">
        <w:rPr>
          <w:bCs/>
        </w:rPr>
        <w:t xml:space="preserve"> curtailed </w:t>
      </w:r>
      <w:r>
        <w:rPr>
          <w:bCs/>
        </w:rPr>
        <w:t xml:space="preserve">in person </w:t>
      </w:r>
      <w:r w:rsidR="003441A4">
        <w:rPr>
          <w:bCs/>
        </w:rPr>
        <w:t>outreach and recruitment activities prior to the 2020-21 school year. With state-imposed restrictions against large gatherings and cautions regarding face-to-face interactions</w:t>
      </w:r>
      <w:r w:rsidR="0069061A">
        <w:rPr>
          <w:bCs/>
        </w:rPr>
        <w:t>,</w:t>
      </w:r>
      <w:r w:rsidR="003441A4">
        <w:rPr>
          <w:bCs/>
        </w:rPr>
        <w:t xml:space="preserve"> laboratory schools relied heavily on social media</w:t>
      </w:r>
      <w:r w:rsidR="00BD2EC2">
        <w:rPr>
          <w:bCs/>
        </w:rPr>
        <w:t xml:space="preserve"> and print and media advertising to publicize laboratory schools. </w:t>
      </w:r>
      <w:r w:rsidR="000C7419">
        <w:rPr>
          <w:bCs/>
        </w:rPr>
        <w:t xml:space="preserve">Word-of-mouth through enrolled families also became more important. </w:t>
      </w:r>
      <w:r w:rsidR="00670D60">
        <w:rPr>
          <w:bCs/>
        </w:rPr>
        <w:t xml:space="preserve">Overall, COVID-19 and the associated school closures may have adversely impacted marketing, </w:t>
      </w:r>
      <w:r w:rsidR="00670D60">
        <w:rPr>
          <w:bCs/>
        </w:rPr>
        <w:t xml:space="preserve">as </w:t>
      </w:r>
      <w:r w:rsidR="00A3605A">
        <w:rPr>
          <w:bCs/>
        </w:rPr>
        <w:t>each</w:t>
      </w:r>
      <w:r w:rsidR="00461B36">
        <w:rPr>
          <w:bCs/>
        </w:rPr>
        <w:t xml:space="preserve"> </w:t>
      </w:r>
      <w:r w:rsidR="00670D60">
        <w:rPr>
          <w:bCs/>
        </w:rPr>
        <w:t xml:space="preserve">laboratory </w:t>
      </w:r>
      <w:r w:rsidR="00670D60">
        <w:rPr>
          <w:bCs/>
        </w:rPr>
        <w:t xml:space="preserve">schools experienced declines in enrollment for the 2020-21 school </w:t>
      </w:r>
      <w:r w:rsidR="00670D60">
        <w:rPr>
          <w:bCs/>
        </w:rPr>
        <w:t>year</w:t>
      </w:r>
      <w:r w:rsidR="00461B36">
        <w:rPr>
          <w:bCs/>
        </w:rPr>
        <w:t>.</w:t>
      </w:r>
      <w:r w:rsidR="00461B36">
        <w:rPr>
          <w:rStyle w:val="FootnoteReference"/>
          <w:bCs/>
        </w:rPr>
        <w:footnoteReference w:id="35"/>
      </w:r>
      <w:r w:rsidR="00BD2EC2">
        <w:rPr>
          <w:bCs/>
        </w:rPr>
        <w:t xml:space="preserve"> </w:t>
      </w:r>
      <w:r w:rsidR="003140AB">
        <w:rPr>
          <w:bCs/>
        </w:rPr>
        <w:t>(</w:t>
      </w:r>
      <w:r w:rsidR="00BD2EC2">
        <w:rPr>
          <w:bCs/>
        </w:rPr>
        <w:t>See Appendix A</w:t>
      </w:r>
      <w:r w:rsidR="0069061A">
        <w:rPr>
          <w:bCs/>
        </w:rPr>
        <w:t>1</w:t>
      </w:r>
      <w:r w:rsidR="00BD2EC2">
        <w:rPr>
          <w:bCs/>
        </w:rPr>
        <w:t xml:space="preserve"> for additional detail on the impact of the </w:t>
      </w:r>
      <w:r w:rsidR="003140AB">
        <w:rPr>
          <w:bCs/>
        </w:rPr>
        <w:t>C</w:t>
      </w:r>
      <w:r w:rsidR="0069061A">
        <w:rPr>
          <w:bCs/>
        </w:rPr>
        <w:t>OVID</w:t>
      </w:r>
      <w:r w:rsidR="00BD2EC2">
        <w:rPr>
          <w:bCs/>
        </w:rPr>
        <w:t>-19 pandemic on laboratory school operations</w:t>
      </w:r>
      <w:r w:rsidR="00BD2EC2">
        <w:rPr>
          <w:bCs/>
        </w:rPr>
        <w:t>)</w:t>
      </w:r>
      <w:r w:rsidR="00670D60">
        <w:rPr>
          <w:bCs/>
        </w:rPr>
        <w:t>.</w:t>
      </w:r>
      <w:r w:rsidR="00B85AE1">
        <w:rPr>
          <w:bCs/>
        </w:rPr>
        <w:t xml:space="preserve"> Further, </w:t>
      </w:r>
      <w:r w:rsidR="00583284">
        <w:rPr>
          <w:bCs/>
        </w:rPr>
        <w:t>the Niner University Elementary School’s</w:t>
      </w:r>
      <w:r w:rsidR="00B85AE1">
        <w:rPr>
          <w:bCs/>
        </w:rPr>
        <w:t xml:space="preserve"> inaugural enrollment </w:t>
      </w:r>
      <w:r w:rsidR="00FA2726">
        <w:rPr>
          <w:bCs/>
        </w:rPr>
        <w:t>did not meet the</w:t>
      </w:r>
      <w:r w:rsidR="00B85AE1">
        <w:rPr>
          <w:bCs/>
        </w:rPr>
        <w:t xml:space="preserve"> </w:t>
      </w:r>
      <w:r w:rsidR="00583284">
        <w:rPr>
          <w:bCs/>
        </w:rPr>
        <w:t xml:space="preserve">UNCC laboratory school planning team’s </w:t>
      </w:r>
      <w:r w:rsidR="00B85AE1">
        <w:rPr>
          <w:bCs/>
        </w:rPr>
        <w:t>enrollment</w:t>
      </w:r>
      <w:r w:rsidR="00FA2726">
        <w:rPr>
          <w:bCs/>
        </w:rPr>
        <w:t xml:space="preserve"> goal</w:t>
      </w:r>
      <w:r w:rsidR="00B85AE1">
        <w:rPr>
          <w:bCs/>
        </w:rPr>
        <w:t>. As of September, the Niner University Elementary School served 73 students, 49</w:t>
      </w:r>
      <w:r w:rsidR="00FA2726">
        <w:rPr>
          <w:bCs/>
        </w:rPr>
        <w:t xml:space="preserve"> percent</w:t>
      </w:r>
      <w:r w:rsidR="00B85AE1">
        <w:rPr>
          <w:bCs/>
        </w:rPr>
        <w:t xml:space="preserve"> of </w:t>
      </w:r>
      <w:r w:rsidR="00FA2726">
        <w:rPr>
          <w:bCs/>
        </w:rPr>
        <w:t xml:space="preserve">its projected </w:t>
      </w:r>
      <w:r w:rsidR="00B85AE1">
        <w:rPr>
          <w:bCs/>
        </w:rPr>
        <w:t>enrollment</w:t>
      </w:r>
      <w:r w:rsidR="00FA2726">
        <w:rPr>
          <w:bCs/>
        </w:rPr>
        <w:t xml:space="preserve"> target</w:t>
      </w:r>
      <w:r w:rsidR="00B85AE1">
        <w:rPr>
          <w:bCs/>
        </w:rPr>
        <w:t>.</w:t>
      </w:r>
      <w:r w:rsidR="00B85AE1">
        <w:rPr>
          <w:rStyle w:val="FootnoteReference"/>
          <w:bCs/>
        </w:rPr>
        <w:footnoteReference w:id="36"/>
      </w:r>
    </w:p>
    <w:p w14:paraId="3A0E4786" w14:textId="77777777" w:rsidR="0069061A" w:rsidRDefault="0069061A" w:rsidP="00C70B59">
      <w:pPr>
        <w:spacing w:after="0" w:line="240" w:lineRule="auto"/>
        <w:jc w:val="both"/>
      </w:pPr>
    </w:p>
    <w:p w14:paraId="456F68A5" w14:textId="77777777" w:rsidR="00B10D4C" w:rsidRDefault="00B10D4C" w:rsidP="00420864">
      <w:pPr>
        <w:spacing w:after="0" w:line="240" w:lineRule="auto"/>
        <w:jc w:val="both"/>
        <w:rPr>
          <w:bCs/>
          <w:i/>
        </w:rPr>
      </w:pPr>
    </w:p>
    <w:p w14:paraId="6AB278FF" w14:textId="77777777" w:rsidR="00B10D4C" w:rsidRDefault="00B10D4C" w:rsidP="00420864">
      <w:pPr>
        <w:spacing w:after="0" w:line="240" w:lineRule="auto"/>
        <w:jc w:val="both"/>
        <w:rPr>
          <w:bCs/>
          <w:i/>
        </w:rPr>
      </w:pPr>
    </w:p>
    <w:p w14:paraId="22879933" w14:textId="77777777" w:rsidR="00B10D4C" w:rsidRDefault="00B10D4C" w:rsidP="00420864">
      <w:pPr>
        <w:spacing w:after="0" w:line="240" w:lineRule="auto"/>
        <w:jc w:val="both"/>
        <w:rPr>
          <w:bCs/>
          <w:i/>
        </w:rPr>
      </w:pPr>
    </w:p>
    <w:p w14:paraId="6A0DE3D1" w14:textId="77777777" w:rsidR="000A03D4" w:rsidRDefault="000A03D4" w:rsidP="00420864">
      <w:pPr>
        <w:spacing w:after="0" w:line="240" w:lineRule="auto"/>
        <w:jc w:val="both"/>
        <w:rPr>
          <w:bCs/>
          <w:i/>
        </w:rPr>
      </w:pPr>
    </w:p>
    <w:p w14:paraId="37CA973E" w14:textId="102B594F" w:rsidR="00420864" w:rsidRPr="00420864" w:rsidRDefault="00420864" w:rsidP="00420864">
      <w:pPr>
        <w:spacing w:after="0" w:line="240" w:lineRule="auto"/>
        <w:jc w:val="both"/>
        <w:rPr>
          <w:bCs/>
          <w:i/>
        </w:rPr>
      </w:pPr>
      <w:r w:rsidRPr="00680F8A">
        <w:rPr>
          <w:bCs/>
          <w:i/>
        </w:rPr>
        <w:lastRenderedPageBreak/>
        <w:t xml:space="preserve">Laboratory </w:t>
      </w:r>
      <w:r w:rsidR="00224CDF">
        <w:rPr>
          <w:bCs/>
          <w:i/>
        </w:rPr>
        <w:t>s</w:t>
      </w:r>
      <w:r w:rsidRPr="00680F8A">
        <w:rPr>
          <w:bCs/>
          <w:i/>
        </w:rPr>
        <w:t xml:space="preserve">chool </w:t>
      </w:r>
      <w:r w:rsidR="00224CDF">
        <w:rPr>
          <w:bCs/>
          <w:i/>
        </w:rPr>
        <w:t>a</w:t>
      </w:r>
      <w:r w:rsidRPr="00680F8A">
        <w:rPr>
          <w:bCs/>
          <w:i/>
        </w:rPr>
        <w:t xml:space="preserve">dmissions and </w:t>
      </w:r>
      <w:r w:rsidR="00224CDF">
        <w:rPr>
          <w:bCs/>
          <w:i/>
        </w:rPr>
        <w:t>e</w:t>
      </w:r>
      <w:r w:rsidRPr="00680F8A">
        <w:rPr>
          <w:bCs/>
          <w:i/>
        </w:rPr>
        <w:t xml:space="preserve">nrollment </w:t>
      </w:r>
      <w:r w:rsidR="00224CDF">
        <w:rPr>
          <w:bCs/>
          <w:i/>
        </w:rPr>
        <w:t>p</w:t>
      </w:r>
      <w:r w:rsidRPr="00680F8A">
        <w:rPr>
          <w:bCs/>
          <w:i/>
        </w:rPr>
        <w:t>riorities</w:t>
      </w:r>
    </w:p>
    <w:p w14:paraId="0A71C3D5" w14:textId="77777777" w:rsidR="00B84A21" w:rsidRDefault="00B84A21" w:rsidP="00420864">
      <w:pPr>
        <w:spacing w:after="0" w:line="240" w:lineRule="auto"/>
        <w:jc w:val="both"/>
        <w:rPr>
          <w:bCs/>
        </w:rPr>
      </w:pPr>
    </w:p>
    <w:p w14:paraId="7218F35F" w14:textId="670C1728" w:rsidR="00420864" w:rsidRDefault="00420864" w:rsidP="00420864">
      <w:pPr>
        <w:spacing w:after="0" w:line="240" w:lineRule="auto"/>
        <w:jc w:val="both"/>
        <w:rPr>
          <w:bCs/>
        </w:rPr>
      </w:pPr>
      <w:r>
        <w:rPr>
          <w:bCs/>
        </w:rPr>
        <w:t xml:space="preserve">As originally enacted in 2016, the enabling laboratory schools legislation directed UNC System institutions to consider eligible for admission any students residing in the local school administrative unit in which the laboratory school is located who were enrolled in a low-performing school at the time of application </w:t>
      </w:r>
      <w:r>
        <w:rPr>
          <w:bCs/>
          <w:i/>
        </w:rPr>
        <w:t xml:space="preserve">and </w:t>
      </w:r>
      <w:r>
        <w:rPr>
          <w:bCs/>
        </w:rPr>
        <w:t>to give priority enrollment to students who did not meet expected growth in the prior school year.</w:t>
      </w:r>
      <w:r w:rsidR="00D67663">
        <w:rPr>
          <w:rStyle w:val="FootnoteReference"/>
          <w:bCs/>
        </w:rPr>
        <w:footnoteReference w:id="37"/>
      </w:r>
      <w:r>
        <w:rPr>
          <w:bCs/>
        </w:rPr>
        <w:t xml:space="preserve"> Failure to meet expected growth can be measured by grades, observations, diagnostic and formative assessments, state assessments, or other factors, including reading on grade level. The legislation was amended in 2017, requiring laboratory schools to consider eligible for admission any students residing in the local school administrative unit in which the laboratory school is located who were enrolled in a low-performing school at the time of application </w:t>
      </w:r>
      <w:r>
        <w:rPr>
          <w:bCs/>
          <w:i/>
        </w:rPr>
        <w:t xml:space="preserve">or </w:t>
      </w:r>
      <w:r>
        <w:rPr>
          <w:bCs/>
        </w:rPr>
        <w:t xml:space="preserve">who did not meet expected growth in the previous academic year. The amended statute no longer provides for priority enrollment for certain students. </w:t>
      </w:r>
      <w:r w:rsidR="0087569D">
        <w:rPr>
          <w:bCs/>
        </w:rPr>
        <w:t xml:space="preserve">In 2018, the legislation was amended to </w:t>
      </w:r>
      <w:r w:rsidR="00D67663">
        <w:rPr>
          <w:bCs/>
        </w:rPr>
        <w:t xml:space="preserve">expand admission eligibility criteria </w:t>
      </w:r>
      <w:r w:rsidR="00D55AC0">
        <w:rPr>
          <w:bCs/>
        </w:rPr>
        <w:t xml:space="preserve">to </w:t>
      </w:r>
      <w:r w:rsidR="0087569D">
        <w:rPr>
          <w:bCs/>
        </w:rPr>
        <w:t xml:space="preserve">include siblings of </w:t>
      </w:r>
      <w:r w:rsidR="00D55AC0">
        <w:rPr>
          <w:bCs/>
        </w:rPr>
        <w:t xml:space="preserve">children </w:t>
      </w:r>
      <w:r w:rsidR="0087569D">
        <w:rPr>
          <w:bCs/>
        </w:rPr>
        <w:t>eligible for admission</w:t>
      </w:r>
      <w:r w:rsidR="00D55AC0">
        <w:rPr>
          <w:bCs/>
        </w:rPr>
        <w:t xml:space="preserve"> under the 2017 criteria</w:t>
      </w:r>
      <w:r w:rsidR="0087569D">
        <w:rPr>
          <w:bCs/>
        </w:rPr>
        <w:t>.</w:t>
      </w:r>
      <w:r w:rsidR="0087569D">
        <w:rPr>
          <w:rStyle w:val="FootnoteReference"/>
          <w:bCs/>
        </w:rPr>
        <w:footnoteReference w:id="38"/>
      </w:r>
      <w:r w:rsidR="00D55AC0">
        <w:rPr>
          <w:bCs/>
        </w:rPr>
        <w:t xml:space="preserve"> </w:t>
      </w:r>
      <w:r w:rsidR="00141B8A">
        <w:rPr>
          <w:bCs/>
        </w:rPr>
        <w:t xml:space="preserve">Additional amendments </w:t>
      </w:r>
      <w:r w:rsidR="00E25560">
        <w:rPr>
          <w:bCs/>
        </w:rPr>
        <w:t xml:space="preserve">enacted in 2020 </w:t>
      </w:r>
      <w:r w:rsidR="00664BD1">
        <w:rPr>
          <w:bCs/>
        </w:rPr>
        <w:t xml:space="preserve">expanded the eligibility criteria to include </w:t>
      </w:r>
      <w:r w:rsidR="00E25560">
        <w:rPr>
          <w:bCs/>
        </w:rPr>
        <w:t>children of laboratory school st</w:t>
      </w:r>
      <w:r w:rsidR="00E61F52">
        <w:rPr>
          <w:bCs/>
        </w:rPr>
        <w:t>aff</w:t>
      </w:r>
      <w:r w:rsidR="00664BD1">
        <w:rPr>
          <w:bCs/>
        </w:rPr>
        <w:t>,</w:t>
      </w:r>
      <w:r w:rsidR="00E25560">
        <w:rPr>
          <w:bCs/>
        </w:rPr>
        <w:t xml:space="preserve"> and </w:t>
      </w:r>
      <w:r w:rsidR="00664BD1">
        <w:rPr>
          <w:bCs/>
        </w:rPr>
        <w:t xml:space="preserve">allow students not meeting any of the eligibility criteria to enroll </w:t>
      </w:r>
      <w:r w:rsidR="00E25560">
        <w:rPr>
          <w:bCs/>
        </w:rPr>
        <w:t xml:space="preserve">if </w:t>
      </w:r>
      <w:r w:rsidR="00D941F5">
        <w:rPr>
          <w:bCs/>
        </w:rPr>
        <w:t>(</w:t>
      </w:r>
      <w:r w:rsidR="00C36A1E">
        <w:rPr>
          <w:bCs/>
        </w:rPr>
        <w:t xml:space="preserve">1) </w:t>
      </w:r>
      <w:r w:rsidR="00E25560">
        <w:rPr>
          <w:bCs/>
        </w:rPr>
        <w:t>the</w:t>
      </w:r>
      <w:r w:rsidR="00664BD1">
        <w:rPr>
          <w:bCs/>
        </w:rPr>
        <w:t>y reside in the district where the laboratory school is located</w:t>
      </w:r>
      <w:r w:rsidR="00D941F5">
        <w:rPr>
          <w:bCs/>
        </w:rPr>
        <w:t>; (2)</w:t>
      </w:r>
      <w:r w:rsidR="00664BD1">
        <w:rPr>
          <w:bCs/>
        </w:rPr>
        <w:t xml:space="preserve"> the </w:t>
      </w:r>
      <w:r w:rsidR="00E25560">
        <w:rPr>
          <w:bCs/>
        </w:rPr>
        <w:t xml:space="preserve"> laboratory school has not reached enrollment capacity by March 1 before the following school year</w:t>
      </w:r>
      <w:r w:rsidR="00D941F5">
        <w:rPr>
          <w:bCs/>
        </w:rPr>
        <w:t>;</w:t>
      </w:r>
      <w:r w:rsidR="00C36A1E">
        <w:rPr>
          <w:bCs/>
        </w:rPr>
        <w:t xml:space="preserve"> and </w:t>
      </w:r>
      <w:r w:rsidR="00D941F5">
        <w:rPr>
          <w:bCs/>
        </w:rPr>
        <w:t>(3</w:t>
      </w:r>
      <w:r w:rsidR="00C36A1E">
        <w:rPr>
          <w:bCs/>
        </w:rPr>
        <w:t>) these students comprise under 20 percent of the school’s total capacity enrollment</w:t>
      </w:r>
      <w:r w:rsidR="00664BD1">
        <w:rPr>
          <w:bCs/>
        </w:rPr>
        <w:t>.</w:t>
      </w:r>
      <w:r w:rsidR="00664BD1">
        <w:rPr>
          <w:rStyle w:val="FootnoteReference"/>
          <w:bCs/>
        </w:rPr>
        <w:footnoteReference w:id="39"/>
      </w:r>
      <w:r w:rsidR="00E25560">
        <w:rPr>
          <w:bCs/>
        </w:rPr>
        <w:t xml:space="preserve"> </w:t>
      </w:r>
    </w:p>
    <w:p w14:paraId="423D7926" w14:textId="77777777" w:rsidR="00420864" w:rsidRDefault="00420864" w:rsidP="00420864">
      <w:pPr>
        <w:spacing w:after="0" w:line="240" w:lineRule="auto"/>
        <w:jc w:val="both"/>
        <w:rPr>
          <w:bCs/>
        </w:rPr>
      </w:pPr>
    </w:p>
    <w:p w14:paraId="5FA16D5D" w14:textId="55E13851" w:rsidR="00420864" w:rsidRDefault="00420864" w:rsidP="00420864">
      <w:pPr>
        <w:spacing w:after="0" w:line="240" w:lineRule="auto"/>
        <w:jc w:val="both"/>
        <w:rPr>
          <w:bCs/>
        </w:rPr>
      </w:pPr>
      <w:r>
        <w:rPr>
          <w:bCs/>
        </w:rPr>
        <w:t xml:space="preserve">Other important aspects of the admissions policies are as follows:  (1) admission to laboratory schools is based on eligibility, timeliness of the application (received during the application period), capacity of the school, and the order in which eligible applications are received; (2) once students are enrolled, they are required to confirm their attendance for the following year but are not required to re-apply; and (3) kindergarten students are eligible to attend a laboratory school if they were zoned to attend a low-performing school in the district. </w:t>
      </w:r>
    </w:p>
    <w:p w14:paraId="4EED797A" w14:textId="0D5820D1" w:rsidR="00420864" w:rsidRDefault="00420864" w:rsidP="00420864">
      <w:pPr>
        <w:spacing w:after="0" w:line="240" w:lineRule="auto"/>
        <w:jc w:val="both"/>
        <w:rPr>
          <w:bCs/>
        </w:rPr>
      </w:pPr>
    </w:p>
    <w:p w14:paraId="08EF9DEA" w14:textId="4CAE50E5" w:rsidR="005436A1" w:rsidRDefault="005B6782" w:rsidP="00420864">
      <w:pPr>
        <w:spacing w:after="0" w:line="240" w:lineRule="auto"/>
        <w:jc w:val="both"/>
        <w:rPr>
          <w:bCs/>
        </w:rPr>
      </w:pPr>
      <w:r>
        <w:rPr>
          <w:bCs/>
        </w:rPr>
        <w:t xml:space="preserve">Amendments to the laboratory school legislation enacted in </w:t>
      </w:r>
      <w:r w:rsidR="00884A6A">
        <w:rPr>
          <w:bCs/>
        </w:rPr>
        <w:t xml:space="preserve">2020 create a </w:t>
      </w:r>
      <w:r>
        <w:rPr>
          <w:bCs/>
        </w:rPr>
        <w:t xml:space="preserve">new </w:t>
      </w:r>
      <w:r w:rsidR="00884A6A">
        <w:rPr>
          <w:bCs/>
        </w:rPr>
        <w:t>requirement</w:t>
      </w:r>
      <w:r w:rsidR="00337B9F">
        <w:rPr>
          <w:bCs/>
        </w:rPr>
        <w:t>,</w:t>
      </w:r>
      <w:r w:rsidR="00884A6A">
        <w:rPr>
          <w:bCs/>
        </w:rPr>
        <w:t xml:space="preserve"> </w:t>
      </w:r>
      <w:r>
        <w:rPr>
          <w:bCs/>
        </w:rPr>
        <w:t>effective in the 2021-22 school year</w:t>
      </w:r>
      <w:r w:rsidR="00337B9F">
        <w:rPr>
          <w:bCs/>
        </w:rPr>
        <w:t>,</w:t>
      </w:r>
      <w:r>
        <w:rPr>
          <w:bCs/>
        </w:rPr>
        <w:t xml:space="preserve"> </w:t>
      </w:r>
      <w:r w:rsidR="00884A6A">
        <w:rPr>
          <w:bCs/>
        </w:rPr>
        <w:t>that laboratory schools make reasonable attempts to ensure that the</w:t>
      </w:r>
      <w:r w:rsidR="00701114">
        <w:rPr>
          <w:bCs/>
        </w:rPr>
        <w:t>ir</w:t>
      </w:r>
      <w:r w:rsidR="00884A6A">
        <w:rPr>
          <w:bCs/>
        </w:rPr>
        <w:t xml:space="preserve"> student population reflects the racial, ethnic, and socioeconomic composition of students in the district where </w:t>
      </w:r>
      <w:r w:rsidR="00816072">
        <w:rPr>
          <w:bCs/>
        </w:rPr>
        <w:t>they are</w:t>
      </w:r>
      <w:r w:rsidR="00884A6A">
        <w:rPr>
          <w:bCs/>
        </w:rPr>
        <w:t xml:space="preserve"> located.</w:t>
      </w:r>
      <w:r w:rsidR="00884A6A">
        <w:rPr>
          <w:rStyle w:val="FootnoteReference"/>
          <w:bCs/>
        </w:rPr>
        <w:footnoteReference w:id="40"/>
      </w:r>
    </w:p>
    <w:p w14:paraId="0918EEDB" w14:textId="77777777" w:rsidR="005B6782" w:rsidRDefault="005B6782" w:rsidP="00420864">
      <w:pPr>
        <w:spacing w:after="0" w:line="240" w:lineRule="auto"/>
        <w:jc w:val="both"/>
        <w:rPr>
          <w:bCs/>
        </w:rPr>
      </w:pPr>
    </w:p>
    <w:p w14:paraId="04473A66" w14:textId="220BD277" w:rsidR="00051EAB" w:rsidRDefault="00420864" w:rsidP="00420864">
      <w:pPr>
        <w:spacing w:after="0" w:line="240" w:lineRule="auto"/>
        <w:jc w:val="both"/>
        <w:rPr>
          <w:bCs/>
        </w:rPr>
      </w:pPr>
      <w:r>
        <w:rPr>
          <w:bCs/>
        </w:rPr>
        <w:lastRenderedPageBreak/>
        <w:t xml:space="preserve">Table </w:t>
      </w:r>
      <w:r w:rsidR="00CB6881">
        <w:rPr>
          <w:bCs/>
        </w:rPr>
        <w:t>1</w:t>
      </w:r>
      <w:r>
        <w:rPr>
          <w:bCs/>
        </w:rPr>
        <w:t xml:space="preserve"> presents data on how laboratory schools determined whether students were eligible to attend:  </w:t>
      </w:r>
      <w:r w:rsidR="00051EAB">
        <w:rPr>
          <w:bCs/>
        </w:rPr>
        <w:t>previously attended/zoned to attend a low-performing school, previously low-performing themselves, a sibling of a child already attending the laboratory school, a child of a laboratory school staff member, or a post March 1</w:t>
      </w:r>
      <w:r w:rsidR="00051EAB" w:rsidRPr="00051EAB">
        <w:rPr>
          <w:bCs/>
          <w:vertAlign w:val="superscript"/>
        </w:rPr>
        <w:t>st</w:t>
      </w:r>
      <w:r w:rsidR="00051EAB">
        <w:rPr>
          <w:bCs/>
        </w:rPr>
        <w:t xml:space="preserve"> enrollee that helps the laboratory school reach capacity. Importantly, laboratory schools did not necessarily confirm all of these eligibility criteria. That is, if a student previously attended a low-performing school, the laboratory school may not have assessed whether the student was also low-performing him/herself. As a result, data in Table 1 indicate how the laboratory school confirmed students’ eligibility and not necessarily all the eligibility criteria that qualified students to attend a laboratory school.</w:t>
      </w:r>
    </w:p>
    <w:p w14:paraId="54F097E0" w14:textId="77777777" w:rsidR="00051EAB" w:rsidRDefault="00051EAB" w:rsidP="00420864">
      <w:pPr>
        <w:spacing w:after="0" w:line="240" w:lineRule="auto"/>
        <w:jc w:val="both"/>
        <w:rPr>
          <w:bCs/>
        </w:rPr>
      </w:pPr>
    </w:p>
    <w:p w14:paraId="58601AD0" w14:textId="53087119" w:rsidR="004D77A0" w:rsidRDefault="004D77A0" w:rsidP="004D77A0">
      <w:pPr>
        <w:spacing w:after="0" w:line="240" w:lineRule="auto"/>
        <w:jc w:val="both"/>
      </w:pPr>
      <w:r>
        <w:t xml:space="preserve">Appalachian State certified that 74 percent of the students enrolled at the Academy at Middle Fork in 2020-21 qualified to attend based on their previous attendance or being zoned to attend a low-performing school; 27 percent qualified based on their own prior performance; 17 percent qualified based on a sibling’s attendance; three percent qualified as children of laboratory school staff; and six percent qualified under the recently enacted provision that helps laboratory schools reach enrollment capacity. ECU certified that 98 percent of the students enrolled at the ECU Community School in 2020-21 qualified to attend based on their previous attendance or being zoned to attend a low-performing school; 40 percent qualified based on their own prior performance; 39 percent qualified based on a sibling’s attendance; and two percent qualified as children of laboratory school staff. </w:t>
      </w:r>
      <w:r w:rsidR="00846E74">
        <w:t xml:space="preserve">UNCC certified that 70 percent of the students enrolled at Niner University Elementary School in 2020-21 qualified to attend based on their previous attendance or being zoned to attend a low-performing school; 16 percent qualified based on their own prior performance; one percent qualified as children of laboratory school staff; and 12 percent qualified based on recently enacted enrollment provisions. </w:t>
      </w:r>
      <w:r>
        <w:t>UNCG certified that 58 percent of the students enrolled at the Moss Street Partnership School in 2020-21 qualified to attend based on their previous attendance or being zoned to attend a low-performing school; 26 percent qualified based on their own prior performance; 13 percent qualified based on a sibling’s attendance; one percent qualified as children of laboratory school staff; and two percent qualified based on recently enacted enrollment provisions. UNCW certified that 50 percent of the students enrolled at D.C. Virgo Preparatory Academy qualified to attend based on their previous attendance or being zoned to attend a low-performing school; 28 percent qualified based on their own prior performance; 21 percent qualified based on a sibling’s attendance; and three percent qualified based on recently enacted enrollment provisions. Finally, WCU certified that 16 percent of the students enrolled at The Catamount School qualified to attend based on their previous attendance or being zoned to attend a low-performing school and 93 percent qualified to attend based on their own prior performance.</w:t>
      </w:r>
    </w:p>
    <w:p w14:paraId="179DB87C" w14:textId="77777777" w:rsidR="000F7821" w:rsidRDefault="000F7821" w:rsidP="00420864">
      <w:pPr>
        <w:spacing w:after="0" w:line="240" w:lineRule="auto"/>
        <w:jc w:val="both"/>
        <w:rPr>
          <w:bCs/>
          <w:i/>
        </w:rPr>
      </w:pPr>
    </w:p>
    <w:p w14:paraId="711DA56D" w14:textId="77777777" w:rsidR="000A03D4" w:rsidRDefault="000A03D4" w:rsidP="00420864">
      <w:pPr>
        <w:spacing w:after="0" w:line="240" w:lineRule="auto"/>
        <w:jc w:val="both"/>
        <w:rPr>
          <w:bCs/>
          <w:i/>
        </w:rPr>
      </w:pPr>
    </w:p>
    <w:p w14:paraId="1986C677" w14:textId="77777777" w:rsidR="000A03D4" w:rsidRDefault="000A03D4" w:rsidP="00420864">
      <w:pPr>
        <w:spacing w:after="0" w:line="240" w:lineRule="auto"/>
        <w:jc w:val="both"/>
        <w:rPr>
          <w:bCs/>
          <w:i/>
        </w:rPr>
      </w:pPr>
    </w:p>
    <w:p w14:paraId="4676C0FF" w14:textId="77777777" w:rsidR="000A03D4" w:rsidRDefault="000A03D4" w:rsidP="00420864">
      <w:pPr>
        <w:spacing w:after="0" w:line="240" w:lineRule="auto"/>
        <w:jc w:val="both"/>
        <w:rPr>
          <w:bCs/>
          <w:i/>
        </w:rPr>
      </w:pPr>
    </w:p>
    <w:p w14:paraId="52786DED" w14:textId="77777777" w:rsidR="000A03D4" w:rsidRDefault="000A03D4" w:rsidP="00420864">
      <w:pPr>
        <w:spacing w:after="0" w:line="240" w:lineRule="auto"/>
        <w:jc w:val="both"/>
        <w:rPr>
          <w:bCs/>
          <w:i/>
        </w:rPr>
      </w:pPr>
    </w:p>
    <w:p w14:paraId="297C99FC" w14:textId="77777777" w:rsidR="000A03D4" w:rsidRDefault="000A03D4" w:rsidP="00420864">
      <w:pPr>
        <w:spacing w:after="0" w:line="240" w:lineRule="auto"/>
        <w:jc w:val="both"/>
        <w:rPr>
          <w:bCs/>
          <w:i/>
        </w:rPr>
      </w:pPr>
    </w:p>
    <w:p w14:paraId="34F22485" w14:textId="77777777" w:rsidR="000A03D4" w:rsidRDefault="000A03D4" w:rsidP="00420864">
      <w:pPr>
        <w:spacing w:after="0" w:line="240" w:lineRule="auto"/>
        <w:jc w:val="both"/>
        <w:rPr>
          <w:bCs/>
          <w:i/>
        </w:rPr>
      </w:pPr>
    </w:p>
    <w:p w14:paraId="047AD1EF" w14:textId="77777777" w:rsidR="000A03D4" w:rsidRDefault="000A03D4" w:rsidP="00420864">
      <w:pPr>
        <w:spacing w:after="0" w:line="240" w:lineRule="auto"/>
        <w:jc w:val="both"/>
        <w:rPr>
          <w:bCs/>
          <w:i/>
        </w:rPr>
      </w:pPr>
    </w:p>
    <w:p w14:paraId="4F3F2651" w14:textId="77777777" w:rsidR="000A03D4" w:rsidRDefault="000A03D4" w:rsidP="00420864">
      <w:pPr>
        <w:spacing w:after="0" w:line="240" w:lineRule="auto"/>
        <w:jc w:val="both"/>
        <w:rPr>
          <w:bCs/>
          <w:i/>
        </w:rPr>
      </w:pPr>
    </w:p>
    <w:p w14:paraId="5AAC3DC1" w14:textId="77777777" w:rsidR="000A03D4" w:rsidRDefault="000A03D4" w:rsidP="00420864">
      <w:pPr>
        <w:spacing w:after="0" w:line="240" w:lineRule="auto"/>
        <w:jc w:val="both"/>
        <w:rPr>
          <w:bCs/>
          <w:i/>
        </w:rPr>
      </w:pPr>
    </w:p>
    <w:p w14:paraId="09C4199C" w14:textId="77777777" w:rsidR="000A03D4" w:rsidRDefault="000A03D4" w:rsidP="00420864">
      <w:pPr>
        <w:spacing w:after="0" w:line="240" w:lineRule="auto"/>
        <w:jc w:val="both"/>
        <w:rPr>
          <w:bCs/>
          <w:i/>
        </w:rPr>
      </w:pPr>
    </w:p>
    <w:p w14:paraId="6AEE6456" w14:textId="77777777" w:rsidR="000A03D4" w:rsidRDefault="000A03D4" w:rsidP="00420864">
      <w:pPr>
        <w:spacing w:after="0" w:line="240" w:lineRule="auto"/>
        <w:jc w:val="both"/>
        <w:rPr>
          <w:bCs/>
          <w:i/>
        </w:rPr>
      </w:pPr>
    </w:p>
    <w:p w14:paraId="59A2BFE8" w14:textId="77777777" w:rsidR="000A03D4" w:rsidRDefault="000A03D4" w:rsidP="00420864">
      <w:pPr>
        <w:spacing w:after="0" w:line="240" w:lineRule="auto"/>
        <w:jc w:val="both"/>
        <w:rPr>
          <w:bCs/>
          <w:i/>
        </w:rPr>
      </w:pPr>
    </w:p>
    <w:p w14:paraId="14E7BC16" w14:textId="77777777" w:rsidR="000A03D4" w:rsidRDefault="000A03D4" w:rsidP="00420864">
      <w:pPr>
        <w:spacing w:after="0" w:line="240" w:lineRule="auto"/>
        <w:jc w:val="both"/>
        <w:rPr>
          <w:bCs/>
          <w:i/>
        </w:rPr>
      </w:pPr>
    </w:p>
    <w:p w14:paraId="0DA8B693" w14:textId="53A8FC66" w:rsidR="00420864" w:rsidRDefault="00420864" w:rsidP="00420864">
      <w:pPr>
        <w:spacing w:after="0" w:line="240" w:lineRule="auto"/>
        <w:jc w:val="both"/>
        <w:rPr>
          <w:bCs/>
          <w:i/>
        </w:rPr>
      </w:pPr>
      <w:r w:rsidRPr="00680F8A">
        <w:rPr>
          <w:bCs/>
          <w:i/>
        </w:rPr>
        <w:lastRenderedPageBreak/>
        <w:t xml:space="preserve">Table </w:t>
      </w:r>
      <w:r w:rsidR="00CB6881" w:rsidRPr="00680F8A">
        <w:rPr>
          <w:bCs/>
          <w:i/>
        </w:rPr>
        <w:t>1</w:t>
      </w:r>
      <w:r w:rsidRPr="00680F8A">
        <w:rPr>
          <w:bCs/>
          <w:i/>
        </w:rPr>
        <w:t>:  Student Enrollment and Laboratory School Eligibility Requirements</w:t>
      </w:r>
    </w:p>
    <w:tbl>
      <w:tblPr>
        <w:tblStyle w:val="TableGrid"/>
        <w:tblW w:w="9450" w:type="dxa"/>
        <w:tblInd w:w="-5" w:type="dxa"/>
        <w:tblLook w:val="04A0" w:firstRow="1" w:lastRow="0" w:firstColumn="1" w:lastColumn="0" w:noHBand="0" w:noVBand="1"/>
      </w:tblPr>
      <w:tblGrid>
        <w:gridCol w:w="3060"/>
        <w:gridCol w:w="990"/>
        <w:gridCol w:w="1080"/>
        <w:gridCol w:w="990"/>
        <w:gridCol w:w="1170"/>
        <w:gridCol w:w="990"/>
        <w:gridCol w:w="1170"/>
      </w:tblGrid>
      <w:tr w:rsidR="002F7C53" w14:paraId="135131FA" w14:textId="77777777" w:rsidTr="00E06256">
        <w:tc>
          <w:tcPr>
            <w:tcW w:w="3060" w:type="dxa"/>
            <w:shd w:val="clear" w:color="auto" w:fill="F2F2F2" w:themeFill="background1" w:themeFillShade="F2"/>
          </w:tcPr>
          <w:p w14:paraId="3BEAC213" w14:textId="77777777" w:rsidR="002F7C53" w:rsidRDefault="002F7C53" w:rsidP="002B5056">
            <w:pPr>
              <w:jc w:val="both"/>
              <w:rPr>
                <w:bCs/>
              </w:rPr>
            </w:pPr>
          </w:p>
        </w:tc>
        <w:tc>
          <w:tcPr>
            <w:tcW w:w="990" w:type="dxa"/>
            <w:shd w:val="clear" w:color="auto" w:fill="F2F2F2" w:themeFill="background1" w:themeFillShade="F2"/>
          </w:tcPr>
          <w:p w14:paraId="38242314" w14:textId="77777777" w:rsidR="002F7C53" w:rsidRDefault="002F7C53" w:rsidP="002B5056">
            <w:pPr>
              <w:jc w:val="center"/>
              <w:rPr>
                <w:bCs/>
              </w:rPr>
            </w:pPr>
            <w:r>
              <w:rPr>
                <w:bCs/>
                <w:sz w:val="20"/>
              </w:rPr>
              <w:t>ASU</w:t>
            </w:r>
          </w:p>
        </w:tc>
        <w:tc>
          <w:tcPr>
            <w:tcW w:w="1080" w:type="dxa"/>
            <w:shd w:val="clear" w:color="auto" w:fill="F2F2F2" w:themeFill="background1" w:themeFillShade="F2"/>
          </w:tcPr>
          <w:p w14:paraId="5D627760" w14:textId="77777777" w:rsidR="002F7C53" w:rsidRDefault="002F7C53" w:rsidP="002B5056">
            <w:pPr>
              <w:jc w:val="center"/>
              <w:rPr>
                <w:bCs/>
              </w:rPr>
            </w:pPr>
            <w:r>
              <w:rPr>
                <w:bCs/>
                <w:sz w:val="20"/>
              </w:rPr>
              <w:t>ECU</w:t>
            </w:r>
          </w:p>
        </w:tc>
        <w:tc>
          <w:tcPr>
            <w:tcW w:w="990" w:type="dxa"/>
            <w:shd w:val="clear" w:color="auto" w:fill="F2F2F2" w:themeFill="background1" w:themeFillShade="F2"/>
          </w:tcPr>
          <w:p w14:paraId="258A9829" w14:textId="02E5356A" w:rsidR="002F7C53" w:rsidRDefault="002F7C53" w:rsidP="002B5056">
            <w:pPr>
              <w:jc w:val="center"/>
              <w:rPr>
                <w:bCs/>
              </w:rPr>
            </w:pPr>
            <w:r>
              <w:rPr>
                <w:bCs/>
                <w:sz w:val="20"/>
              </w:rPr>
              <w:t>UNC</w:t>
            </w:r>
            <w:r w:rsidR="00C30EFC">
              <w:rPr>
                <w:bCs/>
                <w:sz w:val="20"/>
              </w:rPr>
              <w:t>C</w:t>
            </w:r>
          </w:p>
        </w:tc>
        <w:tc>
          <w:tcPr>
            <w:tcW w:w="1170" w:type="dxa"/>
            <w:shd w:val="clear" w:color="auto" w:fill="F2F2F2" w:themeFill="background1" w:themeFillShade="F2"/>
          </w:tcPr>
          <w:p w14:paraId="39124A5B" w14:textId="00F3C261" w:rsidR="002F7C53" w:rsidRDefault="00C30EFC" w:rsidP="002B5056">
            <w:pPr>
              <w:jc w:val="center"/>
              <w:rPr>
                <w:bCs/>
                <w:sz w:val="20"/>
              </w:rPr>
            </w:pPr>
            <w:r>
              <w:rPr>
                <w:bCs/>
                <w:sz w:val="20"/>
              </w:rPr>
              <w:t>UNCG</w:t>
            </w:r>
          </w:p>
        </w:tc>
        <w:tc>
          <w:tcPr>
            <w:tcW w:w="990" w:type="dxa"/>
            <w:shd w:val="clear" w:color="auto" w:fill="F2F2F2" w:themeFill="background1" w:themeFillShade="F2"/>
          </w:tcPr>
          <w:p w14:paraId="50FC2127" w14:textId="4E87569B" w:rsidR="002F7C53" w:rsidRDefault="002F7C53" w:rsidP="002B5056">
            <w:pPr>
              <w:jc w:val="center"/>
              <w:rPr>
                <w:bCs/>
              </w:rPr>
            </w:pPr>
            <w:r>
              <w:rPr>
                <w:bCs/>
                <w:sz w:val="20"/>
              </w:rPr>
              <w:t>UNCW</w:t>
            </w:r>
          </w:p>
        </w:tc>
        <w:tc>
          <w:tcPr>
            <w:tcW w:w="1170" w:type="dxa"/>
            <w:shd w:val="clear" w:color="auto" w:fill="F2F2F2" w:themeFill="background1" w:themeFillShade="F2"/>
          </w:tcPr>
          <w:p w14:paraId="7390C136" w14:textId="77777777" w:rsidR="002F7C53" w:rsidRDefault="002F7C53" w:rsidP="002B5056">
            <w:pPr>
              <w:jc w:val="center"/>
              <w:rPr>
                <w:bCs/>
              </w:rPr>
            </w:pPr>
            <w:r>
              <w:rPr>
                <w:bCs/>
                <w:sz w:val="20"/>
              </w:rPr>
              <w:t>WCU</w:t>
            </w:r>
          </w:p>
        </w:tc>
      </w:tr>
      <w:tr w:rsidR="00846E74" w14:paraId="3D34397E" w14:textId="77777777" w:rsidTr="00E06256">
        <w:tc>
          <w:tcPr>
            <w:tcW w:w="3060" w:type="dxa"/>
          </w:tcPr>
          <w:p w14:paraId="2CF6F2F4" w14:textId="77777777" w:rsidR="00846E74" w:rsidRDefault="00846E74" w:rsidP="00846E74">
            <w:pPr>
              <w:jc w:val="right"/>
              <w:rPr>
                <w:bCs/>
              </w:rPr>
            </w:pPr>
            <w:r>
              <w:rPr>
                <w:bCs/>
              </w:rPr>
              <w:t>Total Enrollment</w:t>
            </w:r>
          </w:p>
        </w:tc>
        <w:tc>
          <w:tcPr>
            <w:tcW w:w="990" w:type="dxa"/>
            <w:vAlign w:val="center"/>
          </w:tcPr>
          <w:p w14:paraId="18D337C9" w14:textId="6619E626" w:rsidR="00846E74" w:rsidRDefault="00846E74" w:rsidP="00846E74">
            <w:pPr>
              <w:jc w:val="center"/>
              <w:rPr>
                <w:bCs/>
              </w:rPr>
            </w:pPr>
            <w:r>
              <w:rPr>
                <w:bCs/>
              </w:rPr>
              <w:t>276</w:t>
            </w:r>
          </w:p>
        </w:tc>
        <w:tc>
          <w:tcPr>
            <w:tcW w:w="1080" w:type="dxa"/>
            <w:vAlign w:val="center"/>
          </w:tcPr>
          <w:p w14:paraId="7A0FD5E2" w14:textId="51737BD4" w:rsidR="00846E74" w:rsidRDefault="00846E74" w:rsidP="00846E74">
            <w:pPr>
              <w:jc w:val="center"/>
              <w:rPr>
                <w:bCs/>
              </w:rPr>
            </w:pPr>
            <w:r>
              <w:rPr>
                <w:bCs/>
              </w:rPr>
              <w:t>109</w:t>
            </w:r>
          </w:p>
        </w:tc>
        <w:tc>
          <w:tcPr>
            <w:tcW w:w="990" w:type="dxa"/>
            <w:vAlign w:val="center"/>
          </w:tcPr>
          <w:p w14:paraId="4C8D4453" w14:textId="31FDE451" w:rsidR="00846E74" w:rsidRDefault="00846E74" w:rsidP="00846E74">
            <w:pPr>
              <w:jc w:val="center"/>
              <w:rPr>
                <w:bCs/>
              </w:rPr>
            </w:pPr>
            <w:r>
              <w:rPr>
                <w:bCs/>
              </w:rPr>
              <w:t>73</w:t>
            </w:r>
          </w:p>
        </w:tc>
        <w:tc>
          <w:tcPr>
            <w:tcW w:w="1170" w:type="dxa"/>
          </w:tcPr>
          <w:p w14:paraId="679C1614" w14:textId="3A114996" w:rsidR="00846E74" w:rsidRDefault="00846E74" w:rsidP="00846E74">
            <w:pPr>
              <w:jc w:val="center"/>
              <w:rPr>
                <w:bCs/>
              </w:rPr>
            </w:pPr>
            <w:r>
              <w:rPr>
                <w:bCs/>
              </w:rPr>
              <w:t>333</w:t>
            </w:r>
          </w:p>
        </w:tc>
        <w:tc>
          <w:tcPr>
            <w:tcW w:w="990" w:type="dxa"/>
            <w:vAlign w:val="center"/>
          </w:tcPr>
          <w:p w14:paraId="6282FC7E" w14:textId="73DCC236" w:rsidR="00846E74" w:rsidRDefault="00846E74" w:rsidP="00846E74">
            <w:pPr>
              <w:jc w:val="center"/>
              <w:rPr>
                <w:bCs/>
              </w:rPr>
            </w:pPr>
            <w:r>
              <w:rPr>
                <w:bCs/>
              </w:rPr>
              <w:t>203</w:t>
            </w:r>
          </w:p>
        </w:tc>
        <w:tc>
          <w:tcPr>
            <w:tcW w:w="1170" w:type="dxa"/>
            <w:vAlign w:val="center"/>
          </w:tcPr>
          <w:p w14:paraId="561D4D88" w14:textId="3A6B87F4" w:rsidR="00846E74" w:rsidRDefault="00846E74" w:rsidP="00846E74">
            <w:pPr>
              <w:jc w:val="center"/>
              <w:rPr>
                <w:bCs/>
              </w:rPr>
            </w:pPr>
            <w:r>
              <w:rPr>
                <w:bCs/>
              </w:rPr>
              <w:t>43</w:t>
            </w:r>
          </w:p>
        </w:tc>
      </w:tr>
      <w:tr w:rsidR="00846E74" w14:paraId="38213031" w14:textId="77777777" w:rsidTr="002B27DA">
        <w:tc>
          <w:tcPr>
            <w:tcW w:w="3060" w:type="dxa"/>
          </w:tcPr>
          <w:p w14:paraId="178E5D82" w14:textId="77777777" w:rsidR="00846E74" w:rsidRDefault="00846E74" w:rsidP="00846E74">
            <w:pPr>
              <w:jc w:val="right"/>
              <w:rPr>
                <w:bCs/>
              </w:rPr>
            </w:pPr>
            <w:r>
              <w:rPr>
                <w:bCs/>
              </w:rPr>
              <w:t>Previously Attended or Zoned to Attend a Low-Performing School</w:t>
            </w:r>
          </w:p>
        </w:tc>
        <w:tc>
          <w:tcPr>
            <w:tcW w:w="990" w:type="dxa"/>
            <w:vAlign w:val="center"/>
          </w:tcPr>
          <w:p w14:paraId="4BA609AF" w14:textId="0A9F1BE5" w:rsidR="00846E74" w:rsidRDefault="00846E74" w:rsidP="00846E74">
            <w:pPr>
              <w:jc w:val="center"/>
              <w:rPr>
                <w:bCs/>
              </w:rPr>
            </w:pPr>
            <w:r>
              <w:rPr>
                <w:bCs/>
              </w:rPr>
              <w:t>74.3%</w:t>
            </w:r>
          </w:p>
        </w:tc>
        <w:tc>
          <w:tcPr>
            <w:tcW w:w="1080" w:type="dxa"/>
            <w:vAlign w:val="center"/>
          </w:tcPr>
          <w:p w14:paraId="3BCE6706" w14:textId="56624922" w:rsidR="00846E74" w:rsidRDefault="00846E74" w:rsidP="00846E74">
            <w:pPr>
              <w:jc w:val="center"/>
              <w:rPr>
                <w:bCs/>
              </w:rPr>
            </w:pPr>
            <w:r>
              <w:rPr>
                <w:bCs/>
              </w:rPr>
              <w:t>98.2%</w:t>
            </w:r>
          </w:p>
        </w:tc>
        <w:tc>
          <w:tcPr>
            <w:tcW w:w="990" w:type="dxa"/>
            <w:vAlign w:val="center"/>
          </w:tcPr>
          <w:p w14:paraId="785332F5" w14:textId="742CC580" w:rsidR="00846E74" w:rsidRDefault="00846E74" w:rsidP="00846E74">
            <w:pPr>
              <w:jc w:val="center"/>
              <w:rPr>
                <w:bCs/>
              </w:rPr>
            </w:pPr>
            <w:r>
              <w:rPr>
                <w:bCs/>
              </w:rPr>
              <w:t>69.9%</w:t>
            </w:r>
          </w:p>
        </w:tc>
        <w:tc>
          <w:tcPr>
            <w:tcW w:w="1170" w:type="dxa"/>
            <w:vAlign w:val="center"/>
          </w:tcPr>
          <w:p w14:paraId="4DBF2B58" w14:textId="4440D044" w:rsidR="00846E74" w:rsidRPr="005822CD" w:rsidRDefault="00846E74" w:rsidP="00846E74">
            <w:pPr>
              <w:jc w:val="center"/>
              <w:rPr>
                <w:bCs/>
              </w:rPr>
            </w:pPr>
            <w:r>
              <w:rPr>
                <w:bCs/>
              </w:rPr>
              <w:t>58.0%</w:t>
            </w:r>
          </w:p>
        </w:tc>
        <w:tc>
          <w:tcPr>
            <w:tcW w:w="990" w:type="dxa"/>
            <w:vAlign w:val="center"/>
          </w:tcPr>
          <w:p w14:paraId="2AD6E2C8" w14:textId="771391BE" w:rsidR="00846E74" w:rsidRPr="005822CD" w:rsidRDefault="00846E74" w:rsidP="00846E74">
            <w:pPr>
              <w:jc w:val="center"/>
              <w:rPr>
                <w:bCs/>
              </w:rPr>
            </w:pPr>
            <w:r>
              <w:rPr>
                <w:bCs/>
              </w:rPr>
              <w:t>49.8%</w:t>
            </w:r>
          </w:p>
        </w:tc>
        <w:tc>
          <w:tcPr>
            <w:tcW w:w="1170" w:type="dxa"/>
            <w:vAlign w:val="center"/>
          </w:tcPr>
          <w:p w14:paraId="10C6DD37" w14:textId="601683F6" w:rsidR="00846E74" w:rsidRDefault="00846E74" w:rsidP="00846E74">
            <w:pPr>
              <w:jc w:val="center"/>
              <w:rPr>
                <w:bCs/>
              </w:rPr>
            </w:pPr>
            <w:r>
              <w:rPr>
                <w:bCs/>
              </w:rPr>
              <w:t>16.3%</w:t>
            </w:r>
          </w:p>
        </w:tc>
      </w:tr>
      <w:tr w:rsidR="00846E74" w14:paraId="01D0898B" w14:textId="77777777" w:rsidTr="002B27DA">
        <w:tc>
          <w:tcPr>
            <w:tcW w:w="3060" w:type="dxa"/>
          </w:tcPr>
          <w:p w14:paraId="6C429DE4" w14:textId="77777777" w:rsidR="00846E74" w:rsidRDefault="00846E74" w:rsidP="00846E74">
            <w:pPr>
              <w:jc w:val="right"/>
              <w:rPr>
                <w:bCs/>
              </w:rPr>
            </w:pPr>
            <w:r>
              <w:rPr>
                <w:bCs/>
              </w:rPr>
              <w:t>Previously Low-Performing Student</w:t>
            </w:r>
          </w:p>
        </w:tc>
        <w:tc>
          <w:tcPr>
            <w:tcW w:w="990" w:type="dxa"/>
            <w:vAlign w:val="center"/>
          </w:tcPr>
          <w:p w14:paraId="52B028B7" w14:textId="14FDDCBD" w:rsidR="00846E74" w:rsidRDefault="00846E74" w:rsidP="00846E74">
            <w:pPr>
              <w:jc w:val="center"/>
              <w:rPr>
                <w:bCs/>
              </w:rPr>
            </w:pPr>
            <w:r>
              <w:rPr>
                <w:bCs/>
              </w:rPr>
              <w:t>26.8%</w:t>
            </w:r>
          </w:p>
        </w:tc>
        <w:tc>
          <w:tcPr>
            <w:tcW w:w="1080" w:type="dxa"/>
            <w:vAlign w:val="center"/>
          </w:tcPr>
          <w:p w14:paraId="4B16DC1B" w14:textId="139C8462" w:rsidR="00846E74" w:rsidRDefault="00846E74" w:rsidP="00846E74">
            <w:pPr>
              <w:jc w:val="center"/>
              <w:rPr>
                <w:bCs/>
              </w:rPr>
            </w:pPr>
            <w:r>
              <w:rPr>
                <w:bCs/>
              </w:rPr>
              <w:t>40.4%</w:t>
            </w:r>
          </w:p>
        </w:tc>
        <w:tc>
          <w:tcPr>
            <w:tcW w:w="990" w:type="dxa"/>
            <w:vAlign w:val="center"/>
          </w:tcPr>
          <w:p w14:paraId="4706D9AA" w14:textId="74A1A3AD" w:rsidR="00846E74" w:rsidRDefault="00846E74" w:rsidP="00846E74">
            <w:pPr>
              <w:jc w:val="center"/>
              <w:rPr>
                <w:bCs/>
              </w:rPr>
            </w:pPr>
            <w:r>
              <w:rPr>
                <w:bCs/>
              </w:rPr>
              <w:t>16.4%</w:t>
            </w:r>
          </w:p>
        </w:tc>
        <w:tc>
          <w:tcPr>
            <w:tcW w:w="1170" w:type="dxa"/>
            <w:vAlign w:val="center"/>
          </w:tcPr>
          <w:p w14:paraId="16ABDDE5" w14:textId="05829EAB" w:rsidR="00846E74" w:rsidRPr="005822CD" w:rsidRDefault="00846E74" w:rsidP="00846E74">
            <w:pPr>
              <w:jc w:val="center"/>
              <w:rPr>
                <w:bCs/>
              </w:rPr>
            </w:pPr>
            <w:r>
              <w:rPr>
                <w:bCs/>
              </w:rPr>
              <w:t>26.1%</w:t>
            </w:r>
          </w:p>
        </w:tc>
        <w:tc>
          <w:tcPr>
            <w:tcW w:w="990" w:type="dxa"/>
            <w:vAlign w:val="center"/>
          </w:tcPr>
          <w:p w14:paraId="6CD93123" w14:textId="44CB173D" w:rsidR="00846E74" w:rsidRPr="005822CD" w:rsidRDefault="00846E74" w:rsidP="00846E74">
            <w:pPr>
              <w:jc w:val="center"/>
              <w:rPr>
                <w:bCs/>
              </w:rPr>
            </w:pPr>
            <w:r>
              <w:rPr>
                <w:bCs/>
              </w:rPr>
              <w:t>27.6%</w:t>
            </w:r>
          </w:p>
        </w:tc>
        <w:tc>
          <w:tcPr>
            <w:tcW w:w="1170" w:type="dxa"/>
            <w:vAlign w:val="center"/>
          </w:tcPr>
          <w:p w14:paraId="633EF882" w14:textId="1C7F1321" w:rsidR="00846E74" w:rsidRDefault="00846E74" w:rsidP="00846E74">
            <w:pPr>
              <w:jc w:val="center"/>
              <w:rPr>
                <w:bCs/>
              </w:rPr>
            </w:pPr>
            <w:r>
              <w:rPr>
                <w:bCs/>
              </w:rPr>
              <w:t>93.0%</w:t>
            </w:r>
          </w:p>
        </w:tc>
      </w:tr>
      <w:tr w:rsidR="00846E74" w14:paraId="459B64B0" w14:textId="77777777" w:rsidTr="002B27DA">
        <w:tc>
          <w:tcPr>
            <w:tcW w:w="3060" w:type="dxa"/>
          </w:tcPr>
          <w:p w14:paraId="0C0486BB" w14:textId="364967DF" w:rsidR="00846E74" w:rsidRDefault="00846E74" w:rsidP="00846E74">
            <w:pPr>
              <w:jc w:val="right"/>
              <w:rPr>
                <w:bCs/>
              </w:rPr>
            </w:pPr>
            <w:r>
              <w:rPr>
                <w:bCs/>
              </w:rPr>
              <w:t>Sibling of a Child Meeting Eligibility Criteria</w:t>
            </w:r>
          </w:p>
        </w:tc>
        <w:tc>
          <w:tcPr>
            <w:tcW w:w="990" w:type="dxa"/>
            <w:vAlign w:val="center"/>
          </w:tcPr>
          <w:p w14:paraId="24B15C79" w14:textId="6A09E924" w:rsidR="00846E74" w:rsidRDefault="00846E74" w:rsidP="00846E74">
            <w:pPr>
              <w:jc w:val="center"/>
              <w:rPr>
                <w:bCs/>
              </w:rPr>
            </w:pPr>
            <w:r>
              <w:rPr>
                <w:bCs/>
              </w:rPr>
              <w:t>17.4%</w:t>
            </w:r>
          </w:p>
        </w:tc>
        <w:tc>
          <w:tcPr>
            <w:tcW w:w="1080" w:type="dxa"/>
            <w:vAlign w:val="center"/>
          </w:tcPr>
          <w:p w14:paraId="43354BB3" w14:textId="768F4DB5" w:rsidR="00846E74" w:rsidRDefault="00846E74" w:rsidP="00846E74">
            <w:pPr>
              <w:jc w:val="center"/>
              <w:rPr>
                <w:bCs/>
              </w:rPr>
            </w:pPr>
            <w:r>
              <w:rPr>
                <w:bCs/>
              </w:rPr>
              <w:t>38.5%</w:t>
            </w:r>
          </w:p>
        </w:tc>
        <w:tc>
          <w:tcPr>
            <w:tcW w:w="990" w:type="dxa"/>
            <w:vAlign w:val="center"/>
          </w:tcPr>
          <w:p w14:paraId="6EA5DF47" w14:textId="78111E81" w:rsidR="00846E74" w:rsidRDefault="00846E74" w:rsidP="00846E74">
            <w:pPr>
              <w:jc w:val="center"/>
              <w:rPr>
                <w:bCs/>
              </w:rPr>
            </w:pPr>
            <w:r>
              <w:rPr>
                <w:bCs/>
              </w:rPr>
              <w:t>0.0%</w:t>
            </w:r>
          </w:p>
        </w:tc>
        <w:tc>
          <w:tcPr>
            <w:tcW w:w="1170" w:type="dxa"/>
            <w:vAlign w:val="center"/>
          </w:tcPr>
          <w:p w14:paraId="0B59235A" w14:textId="7F0DB10D" w:rsidR="00846E74" w:rsidRPr="005822CD" w:rsidRDefault="00846E74" w:rsidP="00846E74">
            <w:pPr>
              <w:jc w:val="center"/>
              <w:rPr>
                <w:bCs/>
              </w:rPr>
            </w:pPr>
            <w:r>
              <w:rPr>
                <w:bCs/>
              </w:rPr>
              <w:t>13.2%</w:t>
            </w:r>
          </w:p>
        </w:tc>
        <w:tc>
          <w:tcPr>
            <w:tcW w:w="990" w:type="dxa"/>
            <w:vAlign w:val="center"/>
          </w:tcPr>
          <w:p w14:paraId="6C738B0B" w14:textId="3E476AAF" w:rsidR="00846E74" w:rsidRPr="005822CD" w:rsidRDefault="00846E74" w:rsidP="00846E74">
            <w:pPr>
              <w:jc w:val="center"/>
              <w:rPr>
                <w:bCs/>
              </w:rPr>
            </w:pPr>
            <w:r>
              <w:rPr>
                <w:bCs/>
              </w:rPr>
              <w:t>20.7%</w:t>
            </w:r>
          </w:p>
        </w:tc>
        <w:tc>
          <w:tcPr>
            <w:tcW w:w="1170" w:type="dxa"/>
            <w:vAlign w:val="center"/>
          </w:tcPr>
          <w:p w14:paraId="27AA26B3" w14:textId="07780DC0" w:rsidR="00846E74" w:rsidRDefault="00846E74" w:rsidP="00846E74">
            <w:pPr>
              <w:jc w:val="center"/>
              <w:rPr>
                <w:bCs/>
              </w:rPr>
            </w:pPr>
            <w:r>
              <w:rPr>
                <w:bCs/>
              </w:rPr>
              <w:t>0.0%</w:t>
            </w:r>
          </w:p>
        </w:tc>
      </w:tr>
      <w:tr w:rsidR="00846E74" w14:paraId="7FB2CF6D" w14:textId="77777777" w:rsidTr="002B27DA">
        <w:tc>
          <w:tcPr>
            <w:tcW w:w="3060" w:type="dxa"/>
          </w:tcPr>
          <w:p w14:paraId="441F899E" w14:textId="40581288" w:rsidR="00846E74" w:rsidRDefault="00846E74" w:rsidP="00846E74">
            <w:pPr>
              <w:jc w:val="right"/>
              <w:rPr>
                <w:bCs/>
              </w:rPr>
            </w:pPr>
            <w:r>
              <w:rPr>
                <w:bCs/>
              </w:rPr>
              <w:t>Child of a Laboratory School Staff Member</w:t>
            </w:r>
          </w:p>
        </w:tc>
        <w:tc>
          <w:tcPr>
            <w:tcW w:w="990" w:type="dxa"/>
            <w:vAlign w:val="center"/>
          </w:tcPr>
          <w:p w14:paraId="08EF52AF" w14:textId="194209E9" w:rsidR="00846E74" w:rsidRDefault="00846E74" w:rsidP="00846E74">
            <w:pPr>
              <w:jc w:val="center"/>
              <w:rPr>
                <w:bCs/>
              </w:rPr>
            </w:pPr>
            <w:r>
              <w:rPr>
                <w:bCs/>
              </w:rPr>
              <w:t>2.9%</w:t>
            </w:r>
          </w:p>
        </w:tc>
        <w:tc>
          <w:tcPr>
            <w:tcW w:w="1080" w:type="dxa"/>
            <w:vAlign w:val="center"/>
          </w:tcPr>
          <w:p w14:paraId="6043C6B5" w14:textId="72A51C1A" w:rsidR="00846E74" w:rsidRDefault="00846E74" w:rsidP="00846E74">
            <w:pPr>
              <w:jc w:val="center"/>
              <w:rPr>
                <w:bCs/>
              </w:rPr>
            </w:pPr>
            <w:r>
              <w:rPr>
                <w:bCs/>
              </w:rPr>
              <w:t>1.8%</w:t>
            </w:r>
          </w:p>
        </w:tc>
        <w:tc>
          <w:tcPr>
            <w:tcW w:w="990" w:type="dxa"/>
            <w:vAlign w:val="center"/>
          </w:tcPr>
          <w:p w14:paraId="232B045E" w14:textId="43CC220A" w:rsidR="00846E74" w:rsidRDefault="00846E74" w:rsidP="00846E74">
            <w:pPr>
              <w:jc w:val="center"/>
              <w:rPr>
                <w:bCs/>
              </w:rPr>
            </w:pPr>
            <w:r>
              <w:rPr>
                <w:bCs/>
              </w:rPr>
              <w:t>1.4%</w:t>
            </w:r>
          </w:p>
        </w:tc>
        <w:tc>
          <w:tcPr>
            <w:tcW w:w="1170" w:type="dxa"/>
            <w:vAlign w:val="center"/>
          </w:tcPr>
          <w:p w14:paraId="2CD4E5C9" w14:textId="4B4E42FF" w:rsidR="00846E74" w:rsidRPr="005822CD" w:rsidRDefault="00846E74" w:rsidP="00846E74">
            <w:pPr>
              <w:jc w:val="center"/>
              <w:rPr>
                <w:bCs/>
              </w:rPr>
            </w:pPr>
            <w:r>
              <w:rPr>
                <w:bCs/>
              </w:rPr>
              <w:t>1.2%</w:t>
            </w:r>
          </w:p>
        </w:tc>
        <w:tc>
          <w:tcPr>
            <w:tcW w:w="990" w:type="dxa"/>
            <w:vAlign w:val="center"/>
          </w:tcPr>
          <w:p w14:paraId="4453523B" w14:textId="54D48826" w:rsidR="00846E74" w:rsidRPr="005822CD" w:rsidRDefault="00846E74" w:rsidP="00846E74">
            <w:pPr>
              <w:jc w:val="center"/>
              <w:rPr>
                <w:bCs/>
              </w:rPr>
            </w:pPr>
            <w:r>
              <w:rPr>
                <w:bCs/>
              </w:rPr>
              <w:t>0.0%</w:t>
            </w:r>
          </w:p>
        </w:tc>
        <w:tc>
          <w:tcPr>
            <w:tcW w:w="1170" w:type="dxa"/>
            <w:vAlign w:val="center"/>
          </w:tcPr>
          <w:p w14:paraId="4B86713B" w14:textId="2E482250" w:rsidR="00846E74" w:rsidRDefault="00846E74" w:rsidP="00846E74">
            <w:pPr>
              <w:jc w:val="center"/>
              <w:rPr>
                <w:bCs/>
              </w:rPr>
            </w:pPr>
            <w:r>
              <w:rPr>
                <w:bCs/>
              </w:rPr>
              <w:t>0.0%</w:t>
            </w:r>
          </w:p>
        </w:tc>
      </w:tr>
      <w:tr w:rsidR="00846E74" w14:paraId="29651BA8" w14:textId="77777777" w:rsidTr="002B27DA">
        <w:tc>
          <w:tcPr>
            <w:tcW w:w="3060" w:type="dxa"/>
          </w:tcPr>
          <w:p w14:paraId="42BD5572" w14:textId="7A5D39AD" w:rsidR="00846E74" w:rsidRDefault="00846E74" w:rsidP="00846E74">
            <w:pPr>
              <w:jc w:val="right"/>
              <w:rPr>
                <w:bCs/>
              </w:rPr>
            </w:pPr>
            <w:r>
              <w:rPr>
                <w:bCs/>
              </w:rPr>
              <w:t>Post March 1</w:t>
            </w:r>
            <w:r w:rsidRPr="0002091F">
              <w:rPr>
                <w:bCs/>
                <w:vertAlign w:val="superscript"/>
              </w:rPr>
              <w:t>st</w:t>
            </w:r>
            <w:r>
              <w:rPr>
                <w:bCs/>
              </w:rPr>
              <w:t xml:space="preserve"> Enrollee that Helps the Laboratory School Reach Capacity</w:t>
            </w:r>
          </w:p>
        </w:tc>
        <w:tc>
          <w:tcPr>
            <w:tcW w:w="990" w:type="dxa"/>
            <w:vAlign w:val="center"/>
          </w:tcPr>
          <w:p w14:paraId="7483CE4D" w14:textId="1582DE7A" w:rsidR="00846E74" w:rsidRDefault="00846E74" w:rsidP="00846E74">
            <w:pPr>
              <w:jc w:val="center"/>
              <w:rPr>
                <w:bCs/>
              </w:rPr>
            </w:pPr>
            <w:r>
              <w:rPr>
                <w:bCs/>
              </w:rPr>
              <w:t>5.8%</w:t>
            </w:r>
          </w:p>
        </w:tc>
        <w:tc>
          <w:tcPr>
            <w:tcW w:w="1080" w:type="dxa"/>
            <w:vAlign w:val="center"/>
          </w:tcPr>
          <w:p w14:paraId="7F8E62A5" w14:textId="4333FB52" w:rsidR="00846E74" w:rsidRDefault="00846E74" w:rsidP="00846E74">
            <w:pPr>
              <w:jc w:val="center"/>
              <w:rPr>
                <w:bCs/>
              </w:rPr>
            </w:pPr>
            <w:r>
              <w:rPr>
                <w:bCs/>
              </w:rPr>
              <w:t>0.0%</w:t>
            </w:r>
          </w:p>
        </w:tc>
        <w:tc>
          <w:tcPr>
            <w:tcW w:w="990" w:type="dxa"/>
            <w:vAlign w:val="center"/>
          </w:tcPr>
          <w:p w14:paraId="146B4BC1" w14:textId="0942B81F" w:rsidR="00846E74" w:rsidRDefault="00846E74" w:rsidP="00846E74">
            <w:pPr>
              <w:jc w:val="center"/>
              <w:rPr>
                <w:bCs/>
              </w:rPr>
            </w:pPr>
            <w:r>
              <w:rPr>
                <w:bCs/>
              </w:rPr>
              <w:t>12.3%</w:t>
            </w:r>
          </w:p>
        </w:tc>
        <w:tc>
          <w:tcPr>
            <w:tcW w:w="1170" w:type="dxa"/>
            <w:vAlign w:val="center"/>
          </w:tcPr>
          <w:p w14:paraId="13BC06A7" w14:textId="146D1378" w:rsidR="00846E74" w:rsidRPr="005822CD" w:rsidRDefault="00846E74" w:rsidP="00846E74">
            <w:pPr>
              <w:jc w:val="center"/>
              <w:rPr>
                <w:bCs/>
              </w:rPr>
            </w:pPr>
            <w:r>
              <w:rPr>
                <w:bCs/>
              </w:rPr>
              <w:t>1.5%</w:t>
            </w:r>
          </w:p>
        </w:tc>
        <w:tc>
          <w:tcPr>
            <w:tcW w:w="990" w:type="dxa"/>
            <w:vAlign w:val="center"/>
          </w:tcPr>
          <w:p w14:paraId="7345EFAB" w14:textId="78780C11" w:rsidR="00846E74" w:rsidRPr="005822CD" w:rsidRDefault="00846E74" w:rsidP="00846E74">
            <w:pPr>
              <w:jc w:val="center"/>
              <w:rPr>
                <w:bCs/>
              </w:rPr>
            </w:pPr>
            <w:r>
              <w:rPr>
                <w:bCs/>
              </w:rPr>
              <w:t>2.5%</w:t>
            </w:r>
          </w:p>
        </w:tc>
        <w:tc>
          <w:tcPr>
            <w:tcW w:w="1170" w:type="dxa"/>
            <w:vAlign w:val="center"/>
          </w:tcPr>
          <w:p w14:paraId="5D087B0A" w14:textId="2A8C0FB5" w:rsidR="00846E74" w:rsidRDefault="00846E74" w:rsidP="00846E74">
            <w:pPr>
              <w:jc w:val="center"/>
              <w:rPr>
                <w:bCs/>
              </w:rPr>
            </w:pPr>
            <w:r>
              <w:rPr>
                <w:bCs/>
              </w:rPr>
              <w:t>0.0%</w:t>
            </w:r>
          </w:p>
        </w:tc>
      </w:tr>
    </w:tbl>
    <w:p w14:paraId="6F02F5C8" w14:textId="51B9CF27" w:rsidR="00EF6A62" w:rsidRPr="00C35261" w:rsidRDefault="00EF6A62" w:rsidP="00EF6A62">
      <w:pPr>
        <w:spacing w:after="0" w:line="240" w:lineRule="auto"/>
        <w:jc w:val="both"/>
        <w:rPr>
          <w:bCs/>
          <w:i/>
          <w:sz w:val="16"/>
        </w:rPr>
      </w:pPr>
      <w:r>
        <w:rPr>
          <w:bCs/>
          <w:i/>
          <w:sz w:val="16"/>
        </w:rPr>
        <w:t>Note:  This table displays information on how laboratory school students determined whether students were eligible to attend. Laboratory schools did not necessarily confirm</w:t>
      </w:r>
      <w:r w:rsidR="00C30EFC">
        <w:rPr>
          <w:bCs/>
          <w:i/>
          <w:sz w:val="16"/>
        </w:rPr>
        <w:t xml:space="preserve"> all these eligibility criteria—i.e. if a student previously attended a low-performing school, the laboratory school may not have assessed whether the student was also low-performing. </w:t>
      </w:r>
      <w:r>
        <w:rPr>
          <w:bCs/>
          <w:i/>
          <w:sz w:val="16"/>
        </w:rPr>
        <w:t>Data are for the 20</w:t>
      </w:r>
      <w:r w:rsidR="00C30EFC">
        <w:rPr>
          <w:bCs/>
          <w:i/>
          <w:sz w:val="16"/>
        </w:rPr>
        <w:t>20</w:t>
      </w:r>
      <w:r>
        <w:rPr>
          <w:bCs/>
          <w:i/>
          <w:sz w:val="16"/>
        </w:rPr>
        <w:t>-2</w:t>
      </w:r>
      <w:r w:rsidR="00C30EFC">
        <w:rPr>
          <w:bCs/>
          <w:i/>
          <w:sz w:val="16"/>
        </w:rPr>
        <w:t>1</w:t>
      </w:r>
      <w:r>
        <w:rPr>
          <w:bCs/>
          <w:i/>
          <w:sz w:val="16"/>
        </w:rPr>
        <w:t xml:space="preserve"> academic year. Status as a low-performing student can be based on grades, observations, diagnostic and formative assessments, state assessments, or other factors, including reading on grade level.</w:t>
      </w:r>
    </w:p>
    <w:p w14:paraId="5618FAB0" w14:textId="77777777" w:rsidR="00264C6A" w:rsidRDefault="00264C6A" w:rsidP="00264C6A">
      <w:pPr>
        <w:spacing w:after="0" w:line="240" w:lineRule="auto"/>
        <w:rPr>
          <w:i/>
        </w:rPr>
      </w:pPr>
    </w:p>
    <w:p w14:paraId="059320AC" w14:textId="4A5C7F29" w:rsidR="003A23F3" w:rsidRDefault="00264C6A" w:rsidP="00264C6A">
      <w:pPr>
        <w:spacing w:after="0" w:line="240" w:lineRule="auto"/>
        <w:rPr>
          <w:i/>
        </w:rPr>
      </w:pPr>
      <w:r>
        <w:rPr>
          <w:i/>
        </w:rPr>
        <w:t>C</w:t>
      </w:r>
      <w:r w:rsidR="003A23F3" w:rsidRPr="0039372F">
        <w:rPr>
          <w:i/>
        </w:rPr>
        <w:t>haracteristics of students enrolled in laboratory schools</w:t>
      </w:r>
    </w:p>
    <w:p w14:paraId="598718E4" w14:textId="2ED2CA3B" w:rsidR="00462A3E" w:rsidRDefault="00462A3E" w:rsidP="00264C6A">
      <w:pPr>
        <w:spacing w:after="0" w:line="240" w:lineRule="auto"/>
        <w:rPr>
          <w:i/>
        </w:rPr>
      </w:pPr>
    </w:p>
    <w:p w14:paraId="18C4F12F" w14:textId="77777777" w:rsidR="004D77A0" w:rsidRDefault="004D77A0" w:rsidP="004D77A0">
      <w:pPr>
        <w:spacing w:after="0" w:line="240" w:lineRule="auto"/>
        <w:jc w:val="both"/>
      </w:pPr>
      <w:r>
        <w:rPr>
          <w:bCs/>
          <w:iCs/>
        </w:rPr>
        <w:t xml:space="preserve">Table 2 presents enrollment and demographic data for UNC System laboratory schools in the 2019-20 and 2021-21 school years. </w:t>
      </w:r>
      <w:r>
        <w:t>As of the 20</w:t>
      </w:r>
      <w:r w:rsidRPr="00CC361E">
        <w:rPr>
          <w:vertAlign w:val="superscript"/>
        </w:rPr>
        <w:t>th</w:t>
      </w:r>
      <w:r>
        <w:t xml:space="preserve"> day of the 2020-21 academic year, the Academy at Middle Fork (Appalachian State) has 276 enrolled students, with 31 in kindergarten, 43 in 1</w:t>
      </w:r>
      <w:r w:rsidRPr="002723F3">
        <w:rPr>
          <w:vertAlign w:val="superscript"/>
        </w:rPr>
        <w:t>st</w:t>
      </w:r>
      <w:r>
        <w:t xml:space="preserve"> grade, 43 in 2</w:t>
      </w:r>
      <w:r w:rsidRPr="002723F3">
        <w:rPr>
          <w:vertAlign w:val="superscript"/>
        </w:rPr>
        <w:t>nd</w:t>
      </w:r>
      <w:r>
        <w:t xml:space="preserve"> grade, 45 in 3</w:t>
      </w:r>
      <w:r w:rsidRPr="002723F3">
        <w:rPr>
          <w:vertAlign w:val="superscript"/>
        </w:rPr>
        <w:t>rd</w:t>
      </w:r>
      <w:r>
        <w:t xml:space="preserve"> grade, 63 in 4</w:t>
      </w:r>
      <w:r w:rsidRPr="002723F3">
        <w:rPr>
          <w:vertAlign w:val="superscript"/>
        </w:rPr>
        <w:t>th</w:t>
      </w:r>
      <w:r>
        <w:t xml:space="preserve"> grade, and 51 in 5</w:t>
      </w:r>
      <w:r w:rsidRPr="002723F3">
        <w:rPr>
          <w:vertAlign w:val="superscript"/>
        </w:rPr>
        <w:t>th</w:t>
      </w:r>
      <w:r>
        <w:t xml:space="preserve"> grade. These enrollment values for the Academy at Middle Fork are similar to those from the 20</w:t>
      </w:r>
      <w:r w:rsidRPr="00F50DF7">
        <w:rPr>
          <w:vertAlign w:val="superscript"/>
        </w:rPr>
        <w:t>th</w:t>
      </w:r>
      <w:r>
        <w:t xml:space="preserve"> school day in the 2019-20 school year. Of the students enrolled in 2020-21, nearly 49 percent are male, 45 percent are Black, 38 percent are Hispanic, and 10 percent are classified as exceptional children. Title I data from the 2019-20 school year show that 62 percent of the Academy at Middle Fork students are designated as low-inco</w:t>
      </w:r>
      <w:r w:rsidRPr="00E71C6F">
        <w:t>me.</w:t>
      </w:r>
      <w:r>
        <w:rPr>
          <w:rStyle w:val="FootnoteReference"/>
          <w:bCs/>
        </w:rPr>
        <w:footnoteReference w:id="41"/>
      </w:r>
      <w:r w:rsidRPr="00E71C6F">
        <w:t xml:space="preserve"> By comparison, 29 percent of the elementary grades students in Winston-Salem Forsyth County Schools are Black, 28 percent are Hispanic, and 68 percent are designated as low-income.</w:t>
      </w:r>
      <w:r w:rsidRPr="00E71C6F">
        <w:rPr>
          <w:rStyle w:val="FootnoteReference"/>
          <w:bCs/>
        </w:rPr>
        <w:footnoteReference w:id="42"/>
      </w:r>
      <w:r>
        <w:t xml:space="preserve"> </w:t>
      </w:r>
    </w:p>
    <w:p w14:paraId="56654854" w14:textId="77777777" w:rsidR="004D77A0" w:rsidRDefault="004D77A0" w:rsidP="004D77A0">
      <w:pPr>
        <w:spacing w:after="0" w:line="240" w:lineRule="auto"/>
        <w:jc w:val="both"/>
      </w:pPr>
    </w:p>
    <w:p w14:paraId="06949776" w14:textId="77777777" w:rsidR="004D77A0" w:rsidRDefault="004D77A0" w:rsidP="004D77A0">
      <w:pPr>
        <w:spacing w:after="0" w:line="240" w:lineRule="auto"/>
        <w:jc w:val="both"/>
      </w:pPr>
      <w:r>
        <w:t>As of the 20</w:t>
      </w:r>
      <w:r w:rsidRPr="00CC361E">
        <w:rPr>
          <w:vertAlign w:val="superscript"/>
        </w:rPr>
        <w:t>th</w:t>
      </w:r>
      <w:r>
        <w:t xml:space="preserve"> day of the 2020-21 academic year, the ECU Community School has 109 enrolled students, with 19 in kindergarten, 27 in 1</w:t>
      </w:r>
      <w:r w:rsidRPr="003E6DFF">
        <w:rPr>
          <w:vertAlign w:val="superscript"/>
        </w:rPr>
        <w:t>st</w:t>
      </w:r>
      <w:r>
        <w:t xml:space="preserve"> grade, 24 in 2</w:t>
      </w:r>
      <w:r w:rsidRPr="003E6DFF">
        <w:rPr>
          <w:vertAlign w:val="superscript"/>
        </w:rPr>
        <w:t>nd</w:t>
      </w:r>
      <w:r>
        <w:t xml:space="preserve"> grade, 13 in 3</w:t>
      </w:r>
      <w:r w:rsidRPr="003E6DFF">
        <w:rPr>
          <w:vertAlign w:val="superscript"/>
        </w:rPr>
        <w:t>rd</w:t>
      </w:r>
      <w:r>
        <w:t xml:space="preserve"> grade, 12 in 4</w:t>
      </w:r>
      <w:r w:rsidRPr="003E6DFF">
        <w:rPr>
          <w:vertAlign w:val="superscript"/>
        </w:rPr>
        <w:t>th</w:t>
      </w:r>
      <w:r>
        <w:t xml:space="preserve"> grade, and 14 in 5</w:t>
      </w:r>
      <w:r w:rsidRPr="003E6DFF">
        <w:rPr>
          <w:vertAlign w:val="superscript"/>
        </w:rPr>
        <w:t>th</w:t>
      </w:r>
      <w:r>
        <w:t xml:space="preserve"> grade. Relative to the 20</w:t>
      </w:r>
      <w:r w:rsidRPr="007B40EA">
        <w:rPr>
          <w:vertAlign w:val="superscript"/>
        </w:rPr>
        <w:t>th</w:t>
      </w:r>
      <w:r>
        <w:t xml:space="preserve"> day of the 2019-20 school year, these data show a small decrease in enrollment at the ECU Community School. Of the students enrolled in 2020-21, 57 percent are male, 94 percent are Black, and 29 percent are classified as exceptional children. Title I data from the 2019-20 school year show that 100 percent of the ECU Community School students are designated as low-income. By comparison, 47 percent of the elementary grades students in Pitt County Schools are Black and 70 percent are designated as low-income. </w:t>
      </w:r>
    </w:p>
    <w:p w14:paraId="0D832E49" w14:textId="77777777" w:rsidR="004D77A0" w:rsidRDefault="004D77A0" w:rsidP="004D77A0">
      <w:pPr>
        <w:spacing w:after="0" w:line="240" w:lineRule="auto"/>
        <w:jc w:val="both"/>
      </w:pPr>
    </w:p>
    <w:p w14:paraId="090E6FF9" w14:textId="77777777" w:rsidR="00846E74" w:rsidRDefault="00846E74" w:rsidP="00846E74">
      <w:pPr>
        <w:spacing w:after="0" w:line="240" w:lineRule="auto"/>
        <w:jc w:val="both"/>
      </w:pPr>
      <w:r>
        <w:lastRenderedPageBreak/>
        <w:t>As of the 20</w:t>
      </w:r>
      <w:r w:rsidRPr="00CC361E">
        <w:rPr>
          <w:vertAlign w:val="superscript"/>
        </w:rPr>
        <w:t>th</w:t>
      </w:r>
      <w:r>
        <w:t xml:space="preserve"> day of the 2020-21 academic year, Niner University Elementary School (UNCC) has 73 enrolled students, with 40 in kindergarten, 19 in 1</w:t>
      </w:r>
      <w:r w:rsidRPr="00DF131B">
        <w:rPr>
          <w:vertAlign w:val="superscript"/>
        </w:rPr>
        <w:t>st</w:t>
      </w:r>
      <w:r>
        <w:t xml:space="preserve"> grade, and 14 in 2</w:t>
      </w:r>
      <w:r w:rsidRPr="00DF131B">
        <w:rPr>
          <w:vertAlign w:val="superscript"/>
        </w:rPr>
        <w:t>nd</w:t>
      </w:r>
      <w:r>
        <w:t xml:space="preserve"> grade. Of the students enrolled in 2020-21, 57 percent are male, 64 percent are Black, 12 percent are multiracial, 11 percent are Hispanic, and 14 percent are classified as exceptional children. Because Niner University Elementary School is new to open in 2020-21, Title I data are not available from the 2019-20 school year. By comparison, 35 percent of the K-2 students in Charlotte-Mecklenburg Schools are Black, three percent are multiracial, and 27 percent are Hispanic.</w:t>
      </w:r>
    </w:p>
    <w:p w14:paraId="3D888AF2" w14:textId="77777777" w:rsidR="004D77A0" w:rsidRDefault="004D77A0" w:rsidP="004D77A0">
      <w:pPr>
        <w:spacing w:after="0" w:line="240" w:lineRule="auto"/>
        <w:jc w:val="both"/>
      </w:pPr>
    </w:p>
    <w:p w14:paraId="3A473590" w14:textId="77777777" w:rsidR="004D77A0" w:rsidRDefault="004D77A0" w:rsidP="004D77A0">
      <w:pPr>
        <w:spacing w:after="0" w:line="240" w:lineRule="auto"/>
        <w:jc w:val="both"/>
      </w:pPr>
      <w:r>
        <w:t>As of the 20</w:t>
      </w:r>
      <w:r w:rsidRPr="00CC361E">
        <w:rPr>
          <w:vertAlign w:val="superscript"/>
        </w:rPr>
        <w:t>th</w:t>
      </w:r>
      <w:r>
        <w:t xml:space="preserve"> day of the 2020-21 academic year, the Moss Street Partnership School (UNCG) has 333 enrolled students, with 40 in kindergarten, 67 in 1</w:t>
      </w:r>
      <w:r w:rsidRPr="00BA6602">
        <w:rPr>
          <w:vertAlign w:val="superscript"/>
        </w:rPr>
        <w:t>st</w:t>
      </w:r>
      <w:r>
        <w:t xml:space="preserve"> grade, 59 in 2</w:t>
      </w:r>
      <w:r w:rsidRPr="00BA6602">
        <w:rPr>
          <w:vertAlign w:val="superscript"/>
        </w:rPr>
        <w:t>nd</w:t>
      </w:r>
      <w:r>
        <w:t xml:space="preserve"> grade, 66 in 3</w:t>
      </w:r>
      <w:r w:rsidRPr="00BA6602">
        <w:rPr>
          <w:vertAlign w:val="superscript"/>
        </w:rPr>
        <w:t>rd</w:t>
      </w:r>
      <w:r>
        <w:t xml:space="preserve"> grade, 60 in 4</w:t>
      </w:r>
      <w:r w:rsidRPr="00BA6602">
        <w:rPr>
          <w:vertAlign w:val="superscript"/>
        </w:rPr>
        <w:t>th</w:t>
      </w:r>
      <w:r>
        <w:t xml:space="preserve"> grade, and 41 in 5</w:t>
      </w:r>
      <w:r w:rsidRPr="00BA6602">
        <w:rPr>
          <w:vertAlign w:val="superscript"/>
        </w:rPr>
        <w:t>th</w:t>
      </w:r>
      <w:r>
        <w:t xml:space="preserve"> grade. These enrollment values are down—by approximately 15 percent—relative to enrollment at the 20</w:t>
      </w:r>
      <w:r w:rsidRPr="00BA6602">
        <w:rPr>
          <w:vertAlign w:val="superscript"/>
        </w:rPr>
        <w:t>th</w:t>
      </w:r>
      <w:r>
        <w:t xml:space="preserve"> day in the 2019-20 school year. Of the students enrolled in 2020-21, 57 percent are male, 64 percent are Black, 11 percent are multiracial, 12 percent are Hispanic, and 17 percent are classified as exceptional children. Title I data from the 2019-20 school year show that 99 percent of the Moss Street Partnership School students are designated as low-income. By comparison, 17 percent of the K-5 students in Rockingham County Schools are Black, seven percent are multiracial, 14 percent are Hispanic, and 71 percent are designated as low-income.</w:t>
      </w:r>
    </w:p>
    <w:p w14:paraId="58DEB25F" w14:textId="77777777" w:rsidR="004D77A0" w:rsidRDefault="004D77A0" w:rsidP="004D77A0">
      <w:pPr>
        <w:spacing w:after="0" w:line="240" w:lineRule="auto"/>
        <w:jc w:val="both"/>
      </w:pPr>
    </w:p>
    <w:p w14:paraId="726DD747" w14:textId="77777777" w:rsidR="004D77A0" w:rsidRDefault="004D77A0" w:rsidP="004D77A0">
      <w:pPr>
        <w:spacing w:after="0" w:line="240" w:lineRule="auto"/>
        <w:jc w:val="both"/>
      </w:pPr>
      <w:r>
        <w:t>As of the 20</w:t>
      </w:r>
      <w:r w:rsidRPr="00CC361E">
        <w:rPr>
          <w:vertAlign w:val="superscript"/>
        </w:rPr>
        <w:t>th</w:t>
      </w:r>
      <w:r>
        <w:t xml:space="preserve"> day of the 2020-21 academic year, D.C. Virgo Preparatory Academy (UNCW) has 203 enrolled students, with 18 in kindergarten, 17 in 1</w:t>
      </w:r>
      <w:r w:rsidRPr="00460F5E">
        <w:rPr>
          <w:vertAlign w:val="superscript"/>
        </w:rPr>
        <w:t>st</w:t>
      </w:r>
      <w:r>
        <w:t xml:space="preserve"> grade, 22 in 2</w:t>
      </w:r>
      <w:r w:rsidRPr="00460F5E">
        <w:rPr>
          <w:vertAlign w:val="superscript"/>
        </w:rPr>
        <w:t>nd</w:t>
      </w:r>
      <w:r>
        <w:t xml:space="preserve"> grade, 20 in 3</w:t>
      </w:r>
      <w:r w:rsidRPr="00460F5E">
        <w:rPr>
          <w:vertAlign w:val="superscript"/>
        </w:rPr>
        <w:t>rd</w:t>
      </w:r>
      <w:r>
        <w:t xml:space="preserve"> grade, 21 in 4</w:t>
      </w:r>
      <w:r w:rsidRPr="00460F5E">
        <w:rPr>
          <w:vertAlign w:val="superscript"/>
        </w:rPr>
        <w:t>th</w:t>
      </w:r>
      <w:r>
        <w:t xml:space="preserve"> grade, 14 in 5</w:t>
      </w:r>
      <w:r w:rsidRPr="00460F5E">
        <w:rPr>
          <w:vertAlign w:val="superscript"/>
        </w:rPr>
        <w:t>th</w:t>
      </w:r>
      <w:r>
        <w:t xml:space="preserve"> grade, 26 in 6</w:t>
      </w:r>
      <w:r w:rsidRPr="00460F5E">
        <w:rPr>
          <w:vertAlign w:val="superscript"/>
        </w:rPr>
        <w:t>th</w:t>
      </w:r>
      <w:r>
        <w:t xml:space="preserve"> grade, 32 in 7</w:t>
      </w:r>
      <w:r w:rsidRPr="00460F5E">
        <w:rPr>
          <w:vertAlign w:val="superscript"/>
        </w:rPr>
        <w:t>th</w:t>
      </w:r>
      <w:r>
        <w:t xml:space="preserve"> grade, and 33 in 8</w:t>
      </w:r>
      <w:r w:rsidRPr="00460F5E">
        <w:rPr>
          <w:vertAlign w:val="superscript"/>
        </w:rPr>
        <w:t>th</w:t>
      </w:r>
      <w:r>
        <w:t xml:space="preserve"> grade. Relative to the 20</w:t>
      </w:r>
      <w:r w:rsidRPr="007B40EA">
        <w:rPr>
          <w:vertAlign w:val="superscript"/>
        </w:rPr>
        <w:t>th</w:t>
      </w:r>
      <w:r>
        <w:t xml:space="preserve"> day of the 2019-20 school year, these data show a small decrease in enrollment at the D.C. Virgo Preparatory Academy. Of the students enrolled in 2020-21, 54 percent are male, 88 percent are Black, and 21 percent are classified as exceptional children. Title I data from the 2019-20 school year show that 100 percent of the D.C. Virgo Preparatory Academy students are designated as low-income. By comparison, 18 percent of the K-8 students in New Hanover County Schools are Black and 59 percent are designated as low-income.</w:t>
      </w:r>
    </w:p>
    <w:p w14:paraId="7AE8A6CA" w14:textId="77777777" w:rsidR="004D77A0" w:rsidRDefault="004D77A0" w:rsidP="004D77A0">
      <w:pPr>
        <w:spacing w:after="0" w:line="240" w:lineRule="auto"/>
        <w:jc w:val="both"/>
      </w:pPr>
    </w:p>
    <w:p w14:paraId="4A539815" w14:textId="77777777" w:rsidR="004D77A0" w:rsidRDefault="004D77A0" w:rsidP="004D77A0">
      <w:pPr>
        <w:spacing w:after="0" w:line="240" w:lineRule="auto"/>
        <w:jc w:val="both"/>
      </w:pPr>
      <w:r>
        <w:t>Finally, as of the 20</w:t>
      </w:r>
      <w:r w:rsidRPr="00CC361E">
        <w:rPr>
          <w:vertAlign w:val="superscript"/>
        </w:rPr>
        <w:t>th</w:t>
      </w:r>
      <w:r>
        <w:t xml:space="preserve"> day of the 2020-21 academic year, The Catamount School (WCU) has 43 enrolled students, with 7 in 6</w:t>
      </w:r>
      <w:r w:rsidRPr="007B40EA">
        <w:rPr>
          <w:vertAlign w:val="superscript"/>
        </w:rPr>
        <w:t>th</w:t>
      </w:r>
      <w:r>
        <w:t xml:space="preserve"> grade, 19 in 7</w:t>
      </w:r>
      <w:r w:rsidRPr="007B40EA">
        <w:rPr>
          <w:vertAlign w:val="superscript"/>
        </w:rPr>
        <w:t>th</w:t>
      </w:r>
      <w:r>
        <w:t xml:space="preserve"> grade, and 17 in 8</w:t>
      </w:r>
      <w:r w:rsidRPr="007B40EA">
        <w:rPr>
          <w:vertAlign w:val="superscript"/>
        </w:rPr>
        <w:t>th</w:t>
      </w:r>
      <w:r>
        <w:t xml:space="preserve"> grade. These enrollment values are down—by approximately 28 percent—relative to enrollment at the 20</w:t>
      </w:r>
      <w:r w:rsidRPr="007B40EA">
        <w:rPr>
          <w:vertAlign w:val="superscript"/>
        </w:rPr>
        <w:t>th</w:t>
      </w:r>
      <w:r>
        <w:t xml:space="preserve"> day of the 2019-20 school year. Of the students enrolled in 2020-21, 49 percent are male, 77 percent are White, 12 percent are multiracial, five percent are Hispanic, five percent are American Indian, and 28 percent are classified as exceptional children. Title I data from the 2019-20 school year show that 33 percent of The Catamount School students are designated as low-income. By comparison, 70 percent of the middle grades (6-8) students in Jackson County are White, 17 percent are Hispanic, four percent are multiracial, 6 percent are American Indian, and 62 percent are designated as low-income.</w:t>
      </w:r>
    </w:p>
    <w:p w14:paraId="5F238684" w14:textId="77777777" w:rsidR="002B721F" w:rsidRDefault="002B721F" w:rsidP="00462A3E">
      <w:pPr>
        <w:spacing w:after="0" w:line="240" w:lineRule="auto"/>
        <w:jc w:val="both"/>
        <w:rPr>
          <w:bCs/>
          <w:i/>
        </w:rPr>
      </w:pPr>
    </w:p>
    <w:p w14:paraId="121FBC6F" w14:textId="77777777" w:rsidR="000A03D4" w:rsidRDefault="000A03D4" w:rsidP="00462A3E">
      <w:pPr>
        <w:spacing w:after="0" w:line="240" w:lineRule="auto"/>
        <w:jc w:val="both"/>
        <w:rPr>
          <w:bCs/>
          <w:i/>
        </w:rPr>
      </w:pPr>
    </w:p>
    <w:p w14:paraId="3E8C4B99" w14:textId="77777777" w:rsidR="000A03D4" w:rsidRDefault="000A03D4" w:rsidP="00462A3E">
      <w:pPr>
        <w:spacing w:after="0" w:line="240" w:lineRule="auto"/>
        <w:jc w:val="both"/>
        <w:rPr>
          <w:bCs/>
          <w:i/>
        </w:rPr>
      </w:pPr>
    </w:p>
    <w:p w14:paraId="6BCA47CA" w14:textId="77777777" w:rsidR="000A03D4" w:rsidRDefault="000A03D4" w:rsidP="00462A3E">
      <w:pPr>
        <w:spacing w:after="0" w:line="240" w:lineRule="auto"/>
        <w:jc w:val="both"/>
        <w:rPr>
          <w:bCs/>
          <w:i/>
        </w:rPr>
      </w:pPr>
    </w:p>
    <w:p w14:paraId="57CBF6DC" w14:textId="77777777" w:rsidR="000A03D4" w:rsidRDefault="000A03D4" w:rsidP="00462A3E">
      <w:pPr>
        <w:spacing w:after="0" w:line="240" w:lineRule="auto"/>
        <w:jc w:val="both"/>
        <w:rPr>
          <w:bCs/>
          <w:i/>
        </w:rPr>
      </w:pPr>
    </w:p>
    <w:p w14:paraId="58F296D8" w14:textId="77777777" w:rsidR="000A03D4" w:rsidRDefault="000A03D4" w:rsidP="00462A3E">
      <w:pPr>
        <w:spacing w:after="0" w:line="240" w:lineRule="auto"/>
        <w:jc w:val="both"/>
        <w:rPr>
          <w:bCs/>
          <w:i/>
        </w:rPr>
      </w:pPr>
    </w:p>
    <w:p w14:paraId="094B2F0A" w14:textId="77777777" w:rsidR="000A03D4" w:rsidRDefault="000A03D4" w:rsidP="00462A3E">
      <w:pPr>
        <w:spacing w:after="0" w:line="240" w:lineRule="auto"/>
        <w:jc w:val="both"/>
        <w:rPr>
          <w:bCs/>
          <w:i/>
        </w:rPr>
      </w:pPr>
    </w:p>
    <w:p w14:paraId="6A9A656D" w14:textId="77777777" w:rsidR="000A03D4" w:rsidRDefault="000A03D4" w:rsidP="00462A3E">
      <w:pPr>
        <w:spacing w:after="0" w:line="240" w:lineRule="auto"/>
        <w:jc w:val="both"/>
        <w:rPr>
          <w:bCs/>
          <w:i/>
        </w:rPr>
      </w:pPr>
    </w:p>
    <w:p w14:paraId="585E8D9D" w14:textId="77777777" w:rsidR="000A03D4" w:rsidRDefault="000A03D4" w:rsidP="00462A3E">
      <w:pPr>
        <w:spacing w:after="0" w:line="240" w:lineRule="auto"/>
        <w:jc w:val="both"/>
        <w:rPr>
          <w:bCs/>
          <w:i/>
        </w:rPr>
      </w:pPr>
    </w:p>
    <w:p w14:paraId="3FF283F2" w14:textId="77777777" w:rsidR="000A03D4" w:rsidRDefault="000A03D4" w:rsidP="00462A3E">
      <w:pPr>
        <w:spacing w:after="0" w:line="240" w:lineRule="auto"/>
        <w:jc w:val="both"/>
        <w:rPr>
          <w:bCs/>
          <w:i/>
        </w:rPr>
      </w:pPr>
    </w:p>
    <w:p w14:paraId="42B16A52" w14:textId="77777777" w:rsidR="000A03D4" w:rsidRDefault="000A03D4" w:rsidP="00462A3E">
      <w:pPr>
        <w:spacing w:after="0" w:line="240" w:lineRule="auto"/>
        <w:jc w:val="both"/>
        <w:rPr>
          <w:bCs/>
          <w:i/>
        </w:rPr>
      </w:pPr>
    </w:p>
    <w:p w14:paraId="1D79DDFD" w14:textId="77777777" w:rsidR="000A03D4" w:rsidRDefault="000A03D4" w:rsidP="00462A3E">
      <w:pPr>
        <w:spacing w:after="0" w:line="240" w:lineRule="auto"/>
        <w:jc w:val="both"/>
        <w:rPr>
          <w:bCs/>
          <w:i/>
        </w:rPr>
      </w:pPr>
    </w:p>
    <w:p w14:paraId="40F2CC59" w14:textId="2B48A8A0" w:rsidR="00462A3E" w:rsidRDefault="00462A3E" w:rsidP="00462A3E">
      <w:pPr>
        <w:spacing w:after="0" w:line="240" w:lineRule="auto"/>
        <w:jc w:val="both"/>
        <w:rPr>
          <w:bCs/>
          <w:i/>
        </w:rPr>
      </w:pPr>
      <w:r>
        <w:rPr>
          <w:bCs/>
          <w:i/>
        </w:rPr>
        <w:lastRenderedPageBreak/>
        <w:t>Table 2:  Student Enrollment in UNC System Laboratory Schools</w:t>
      </w:r>
    </w:p>
    <w:tbl>
      <w:tblPr>
        <w:tblStyle w:val="TableGrid"/>
        <w:tblW w:w="945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77"/>
        <w:gridCol w:w="758"/>
        <w:gridCol w:w="664"/>
        <w:gridCol w:w="807"/>
        <w:gridCol w:w="664"/>
        <w:gridCol w:w="877"/>
        <w:gridCol w:w="875"/>
        <w:gridCol w:w="693"/>
        <w:gridCol w:w="764"/>
        <w:gridCol w:w="664"/>
        <w:gridCol w:w="714"/>
        <w:gridCol w:w="693"/>
      </w:tblGrid>
      <w:tr w:rsidR="0050396E" w14:paraId="340A8E39" w14:textId="77777777" w:rsidTr="001B65AC">
        <w:trPr>
          <w:trHeight w:val="346"/>
        </w:trPr>
        <w:tc>
          <w:tcPr>
            <w:tcW w:w="1277" w:type="dxa"/>
            <w:shd w:val="clear" w:color="auto" w:fill="F2F2F2" w:themeFill="background1" w:themeFillShade="F2"/>
          </w:tcPr>
          <w:p w14:paraId="3D9637A4" w14:textId="77777777" w:rsidR="0050396E" w:rsidRDefault="0050396E" w:rsidP="000C2FB1">
            <w:pPr>
              <w:jc w:val="both"/>
              <w:rPr>
                <w:bCs/>
                <w:i/>
              </w:rPr>
            </w:pPr>
          </w:p>
        </w:tc>
        <w:tc>
          <w:tcPr>
            <w:tcW w:w="1422" w:type="dxa"/>
            <w:gridSpan w:val="2"/>
            <w:shd w:val="clear" w:color="auto" w:fill="F2F2F2" w:themeFill="background1" w:themeFillShade="F2"/>
            <w:vAlign w:val="center"/>
          </w:tcPr>
          <w:p w14:paraId="46E16917" w14:textId="77777777" w:rsidR="0050396E" w:rsidRDefault="0050396E" w:rsidP="000C2FB1">
            <w:pPr>
              <w:jc w:val="center"/>
              <w:rPr>
                <w:bCs/>
                <w:sz w:val="20"/>
              </w:rPr>
            </w:pPr>
            <w:r>
              <w:rPr>
                <w:bCs/>
                <w:sz w:val="20"/>
              </w:rPr>
              <w:t>ASU</w:t>
            </w:r>
          </w:p>
        </w:tc>
        <w:tc>
          <w:tcPr>
            <w:tcW w:w="1471" w:type="dxa"/>
            <w:gridSpan w:val="2"/>
            <w:shd w:val="clear" w:color="auto" w:fill="F2F2F2" w:themeFill="background1" w:themeFillShade="F2"/>
            <w:vAlign w:val="center"/>
          </w:tcPr>
          <w:p w14:paraId="50898161" w14:textId="77777777" w:rsidR="0050396E" w:rsidRDefault="0050396E" w:rsidP="000C2FB1">
            <w:pPr>
              <w:jc w:val="center"/>
              <w:rPr>
                <w:bCs/>
                <w:sz w:val="20"/>
              </w:rPr>
            </w:pPr>
            <w:r>
              <w:rPr>
                <w:bCs/>
                <w:sz w:val="20"/>
              </w:rPr>
              <w:t>ECU</w:t>
            </w:r>
          </w:p>
        </w:tc>
        <w:tc>
          <w:tcPr>
            <w:tcW w:w="877" w:type="dxa"/>
            <w:shd w:val="clear" w:color="auto" w:fill="F2F2F2" w:themeFill="background1" w:themeFillShade="F2"/>
            <w:vAlign w:val="center"/>
          </w:tcPr>
          <w:p w14:paraId="1377B2C3" w14:textId="3DD3C184" w:rsidR="0050396E" w:rsidRDefault="0050396E" w:rsidP="0050396E">
            <w:pPr>
              <w:jc w:val="center"/>
              <w:rPr>
                <w:bCs/>
                <w:sz w:val="20"/>
              </w:rPr>
            </w:pPr>
            <w:r>
              <w:rPr>
                <w:bCs/>
                <w:sz w:val="20"/>
              </w:rPr>
              <w:t>UNCC</w:t>
            </w:r>
          </w:p>
        </w:tc>
        <w:tc>
          <w:tcPr>
            <w:tcW w:w="1568" w:type="dxa"/>
            <w:gridSpan w:val="2"/>
            <w:shd w:val="clear" w:color="auto" w:fill="F2F2F2" w:themeFill="background1" w:themeFillShade="F2"/>
            <w:vAlign w:val="center"/>
          </w:tcPr>
          <w:p w14:paraId="463540E7" w14:textId="4EB867EC" w:rsidR="0050396E" w:rsidRDefault="0050396E" w:rsidP="000C2FB1">
            <w:pPr>
              <w:jc w:val="center"/>
              <w:rPr>
                <w:bCs/>
                <w:sz w:val="20"/>
              </w:rPr>
            </w:pPr>
            <w:r>
              <w:rPr>
                <w:bCs/>
                <w:sz w:val="20"/>
              </w:rPr>
              <w:t>UNCG</w:t>
            </w:r>
          </w:p>
        </w:tc>
        <w:tc>
          <w:tcPr>
            <w:tcW w:w="1428" w:type="dxa"/>
            <w:gridSpan w:val="2"/>
            <w:shd w:val="clear" w:color="auto" w:fill="F2F2F2" w:themeFill="background1" w:themeFillShade="F2"/>
            <w:vAlign w:val="center"/>
          </w:tcPr>
          <w:p w14:paraId="0407AF85" w14:textId="77777777" w:rsidR="0050396E" w:rsidRDefault="0050396E" w:rsidP="000C2FB1">
            <w:pPr>
              <w:jc w:val="center"/>
              <w:rPr>
                <w:bCs/>
                <w:sz w:val="20"/>
              </w:rPr>
            </w:pPr>
            <w:r>
              <w:rPr>
                <w:bCs/>
                <w:sz w:val="20"/>
              </w:rPr>
              <w:t>UNCW</w:t>
            </w:r>
          </w:p>
        </w:tc>
        <w:tc>
          <w:tcPr>
            <w:tcW w:w="1407" w:type="dxa"/>
            <w:gridSpan w:val="2"/>
            <w:shd w:val="clear" w:color="auto" w:fill="F2F2F2" w:themeFill="background1" w:themeFillShade="F2"/>
            <w:vAlign w:val="center"/>
          </w:tcPr>
          <w:p w14:paraId="35E52D60" w14:textId="77777777" w:rsidR="0050396E" w:rsidRDefault="0050396E" w:rsidP="000C2FB1">
            <w:pPr>
              <w:jc w:val="center"/>
              <w:rPr>
                <w:bCs/>
                <w:sz w:val="20"/>
              </w:rPr>
            </w:pPr>
            <w:r>
              <w:rPr>
                <w:bCs/>
                <w:sz w:val="20"/>
              </w:rPr>
              <w:t>WCU</w:t>
            </w:r>
          </w:p>
        </w:tc>
      </w:tr>
      <w:tr w:rsidR="0050396E" w:rsidRPr="0055564D" w14:paraId="2D345BA2" w14:textId="77777777" w:rsidTr="001B65AC">
        <w:trPr>
          <w:trHeight w:val="346"/>
        </w:trPr>
        <w:tc>
          <w:tcPr>
            <w:tcW w:w="1277" w:type="dxa"/>
          </w:tcPr>
          <w:p w14:paraId="13FEEC17" w14:textId="77777777" w:rsidR="0050396E" w:rsidRDefault="0050396E" w:rsidP="00462A3E">
            <w:pPr>
              <w:jc w:val="both"/>
              <w:rPr>
                <w:bCs/>
                <w:i/>
              </w:rPr>
            </w:pPr>
          </w:p>
        </w:tc>
        <w:tc>
          <w:tcPr>
            <w:tcW w:w="758" w:type="dxa"/>
            <w:vAlign w:val="center"/>
          </w:tcPr>
          <w:p w14:paraId="35B3D77E" w14:textId="54D760D6" w:rsidR="0050396E" w:rsidRPr="0050396E" w:rsidRDefault="0050396E" w:rsidP="00462A3E">
            <w:pPr>
              <w:jc w:val="center"/>
              <w:rPr>
                <w:bCs/>
                <w:sz w:val="18"/>
                <w:szCs w:val="20"/>
                <w:u w:val="single"/>
              </w:rPr>
            </w:pPr>
            <w:r w:rsidRPr="0050396E">
              <w:rPr>
                <w:bCs/>
                <w:sz w:val="18"/>
                <w:szCs w:val="20"/>
                <w:u w:val="single"/>
              </w:rPr>
              <w:t>19-20</w:t>
            </w:r>
          </w:p>
        </w:tc>
        <w:tc>
          <w:tcPr>
            <w:tcW w:w="664" w:type="dxa"/>
            <w:vAlign w:val="center"/>
          </w:tcPr>
          <w:p w14:paraId="4F5ECBE6" w14:textId="322A480B" w:rsidR="0050396E" w:rsidRPr="0050396E" w:rsidRDefault="0050396E" w:rsidP="00462A3E">
            <w:pPr>
              <w:jc w:val="center"/>
              <w:rPr>
                <w:bCs/>
                <w:sz w:val="18"/>
                <w:szCs w:val="20"/>
                <w:u w:val="single"/>
              </w:rPr>
            </w:pPr>
            <w:r w:rsidRPr="0050396E">
              <w:rPr>
                <w:bCs/>
                <w:sz w:val="18"/>
                <w:szCs w:val="20"/>
                <w:u w:val="single"/>
              </w:rPr>
              <w:t>20-21</w:t>
            </w:r>
          </w:p>
        </w:tc>
        <w:tc>
          <w:tcPr>
            <w:tcW w:w="807" w:type="dxa"/>
            <w:vAlign w:val="center"/>
          </w:tcPr>
          <w:p w14:paraId="02C10934" w14:textId="7FD07AA8" w:rsidR="0050396E" w:rsidRPr="0050396E" w:rsidRDefault="0050396E" w:rsidP="00462A3E">
            <w:pPr>
              <w:jc w:val="center"/>
              <w:rPr>
                <w:bCs/>
                <w:sz w:val="18"/>
                <w:szCs w:val="20"/>
                <w:u w:val="single"/>
              </w:rPr>
            </w:pPr>
            <w:r w:rsidRPr="0050396E">
              <w:rPr>
                <w:bCs/>
                <w:sz w:val="18"/>
                <w:szCs w:val="20"/>
                <w:u w:val="single"/>
              </w:rPr>
              <w:t>19-20</w:t>
            </w:r>
          </w:p>
        </w:tc>
        <w:tc>
          <w:tcPr>
            <w:tcW w:w="664" w:type="dxa"/>
            <w:vAlign w:val="center"/>
          </w:tcPr>
          <w:p w14:paraId="428AD0C7" w14:textId="6C9ABB98" w:rsidR="0050396E" w:rsidRPr="0050396E" w:rsidRDefault="0050396E" w:rsidP="00462A3E">
            <w:pPr>
              <w:jc w:val="center"/>
              <w:rPr>
                <w:bCs/>
                <w:sz w:val="18"/>
                <w:szCs w:val="20"/>
                <w:u w:val="single"/>
              </w:rPr>
            </w:pPr>
            <w:r w:rsidRPr="0050396E">
              <w:rPr>
                <w:bCs/>
                <w:sz w:val="18"/>
                <w:szCs w:val="20"/>
                <w:u w:val="single"/>
              </w:rPr>
              <w:t>20-21</w:t>
            </w:r>
          </w:p>
        </w:tc>
        <w:tc>
          <w:tcPr>
            <w:tcW w:w="877" w:type="dxa"/>
            <w:vAlign w:val="center"/>
          </w:tcPr>
          <w:p w14:paraId="27E011AD" w14:textId="450045B1" w:rsidR="0050396E" w:rsidRPr="0050396E" w:rsidRDefault="0050396E" w:rsidP="0050396E">
            <w:pPr>
              <w:jc w:val="center"/>
              <w:rPr>
                <w:bCs/>
                <w:sz w:val="18"/>
                <w:szCs w:val="20"/>
                <w:u w:val="single"/>
              </w:rPr>
            </w:pPr>
            <w:r w:rsidRPr="0050396E">
              <w:rPr>
                <w:bCs/>
                <w:sz w:val="18"/>
                <w:szCs w:val="20"/>
                <w:u w:val="single"/>
              </w:rPr>
              <w:t>20-21</w:t>
            </w:r>
          </w:p>
        </w:tc>
        <w:tc>
          <w:tcPr>
            <w:tcW w:w="875" w:type="dxa"/>
            <w:vAlign w:val="center"/>
          </w:tcPr>
          <w:p w14:paraId="627847AC" w14:textId="72119723" w:rsidR="0050396E" w:rsidRPr="0050396E" w:rsidRDefault="0050396E" w:rsidP="00462A3E">
            <w:pPr>
              <w:jc w:val="center"/>
              <w:rPr>
                <w:bCs/>
                <w:sz w:val="18"/>
                <w:szCs w:val="20"/>
                <w:u w:val="single"/>
              </w:rPr>
            </w:pPr>
            <w:r w:rsidRPr="0050396E">
              <w:rPr>
                <w:bCs/>
                <w:sz w:val="18"/>
                <w:szCs w:val="20"/>
                <w:u w:val="single"/>
              </w:rPr>
              <w:t>19-20</w:t>
            </w:r>
          </w:p>
        </w:tc>
        <w:tc>
          <w:tcPr>
            <w:tcW w:w="693" w:type="dxa"/>
            <w:vAlign w:val="center"/>
          </w:tcPr>
          <w:p w14:paraId="3B62791C" w14:textId="0276525B" w:rsidR="0050396E" w:rsidRPr="0050396E" w:rsidRDefault="0050396E" w:rsidP="00462A3E">
            <w:pPr>
              <w:jc w:val="center"/>
              <w:rPr>
                <w:bCs/>
                <w:sz w:val="18"/>
                <w:szCs w:val="20"/>
                <w:u w:val="single"/>
              </w:rPr>
            </w:pPr>
            <w:r w:rsidRPr="0050396E">
              <w:rPr>
                <w:bCs/>
                <w:sz w:val="18"/>
                <w:szCs w:val="20"/>
                <w:u w:val="single"/>
              </w:rPr>
              <w:t>20-21</w:t>
            </w:r>
          </w:p>
        </w:tc>
        <w:tc>
          <w:tcPr>
            <w:tcW w:w="764" w:type="dxa"/>
            <w:vAlign w:val="center"/>
          </w:tcPr>
          <w:p w14:paraId="4BCD0907" w14:textId="2D91C439" w:rsidR="0050396E" w:rsidRPr="0050396E" w:rsidRDefault="0050396E" w:rsidP="00462A3E">
            <w:pPr>
              <w:jc w:val="center"/>
              <w:rPr>
                <w:bCs/>
                <w:sz w:val="18"/>
                <w:szCs w:val="20"/>
                <w:u w:val="single"/>
              </w:rPr>
            </w:pPr>
            <w:r w:rsidRPr="0050396E">
              <w:rPr>
                <w:bCs/>
                <w:sz w:val="18"/>
                <w:szCs w:val="20"/>
                <w:u w:val="single"/>
              </w:rPr>
              <w:t>19-20</w:t>
            </w:r>
          </w:p>
        </w:tc>
        <w:tc>
          <w:tcPr>
            <w:tcW w:w="664" w:type="dxa"/>
            <w:vAlign w:val="center"/>
          </w:tcPr>
          <w:p w14:paraId="13E033ED" w14:textId="3B3FFA13" w:rsidR="0050396E" w:rsidRPr="0050396E" w:rsidRDefault="0050396E" w:rsidP="00462A3E">
            <w:pPr>
              <w:jc w:val="center"/>
              <w:rPr>
                <w:bCs/>
                <w:sz w:val="18"/>
                <w:szCs w:val="20"/>
                <w:u w:val="single"/>
              </w:rPr>
            </w:pPr>
            <w:r w:rsidRPr="0050396E">
              <w:rPr>
                <w:bCs/>
                <w:sz w:val="18"/>
                <w:szCs w:val="20"/>
                <w:u w:val="single"/>
              </w:rPr>
              <w:t>20-21</w:t>
            </w:r>
          </w:p>
        </w:tc>
        <w:tc>
          <w:tcPr>
            <w:tcW w:w="714" w:type="dxa"/>
            <w:vAlign w:val="center"/>
          </w:tcPr>
          <w:p w14:paraId="1B34D188" w14:textId="456B3EBA" w:rsidR="0050396E" w:rsidRPr="0050396E" w:rsidRDefault="0050396E" w:rsidP="00462A3E">
            <w:pPr>
              <w:jc w:val="center"/>
              <w:rPr>
                <w:bCs/>
                <w:sz w:val="18"/>
                <w:szCs w:val="20"/>
                <w:u w:val="single"/>
              </w:rPr>
            </w:pPr>
            <w:r w:rsidRPr="0050396E">
              <w:rPr>
                <w:bCs/>
                <w:sz w:val="18"/>
                <w:szCs w:val="20"/>
                <w:u w:val="single"/>
              </w:rPr>
              <w:t>19-20</w:t>
            </w:r>
          </w:p>
        </w:tc>
        <w:tc>
          <w:tcPr>
            <w:tcW w:w="693" w:type="dxa"/>
            <w:vAlign w:val="center"/>
          </w:tcPr>
          <w:p w14:paraId="54571E5B" w14:textId="72A84436" w:rsidR="0050396E" w:rsidRPr="0050396E" w:rsidRDefault="0050396E" w:rsidP="00462A3E">
            <w:pPr>
              <w:jc w:val="center"/>
              <w:rPr>
                <w:bCs/>
                <w:sz w:val="18"/>
                <w:szCs w:val="20"/>
                <w:u w:val="single"/>
              </w:rPr>
            </w:pPr>
            <w:r w:rsidRPr="0050396E">
              <w:rPr>
                <w:bCs/>
                <w:sz w:val="18"/>
                <w:szCs w:val="20"/>
                <w:u w:val="single"/>
              </w:rPr>
              <w:t>20-21</w:t>
            </w:r>
          </w:p>
        </w:tc>
      </w:tr>
      <w:tr w:rsidR="00846E74" w14:paraId="4DD16008" w14:textId="77777777" w:rsidTr="001B65AC">
        <w:trPr>
          <w:trHeight w:val="346"/>
        </w:trPr>
        <w:tc>
          <w:tcPr>
            <w:tcW w:w="1277" w:type="dxa"/>
            <w:vAlign w:val="center"/>
          </w:tcPr>
          <w:p w14:paraId="4CAC0FC5" w14:textId="77777777" w:rsidR="00846E74" w:rsidRPr="003D47C4" w:rsidRDefault="00846E74" w:rsidP="00846E74">
            <w:pPr>
              <w:jc w:val="right"/>
              <w:rPr>
                <w:bCs/>
                <w:sz w:val="20"/>
              </w:rPr>
            </w:pPr>
            <w:r>
              <w:rPr>
                <w:bCs/>
                <w:sz w:val="20"/>
              </w:rPr>
              <w:t>Total Enrollment</w:t>
            </w:r>
          </w:p>
        </w:tc>
        <w:tc>
          <w:tcPr>
            <w:tcW w:w="758" w:type="dxa"/>
            <w:vAlign w:val="center"/>
          </w:tcPr>
          <w:p w14:paraId="7FE5E210" w14:textId="394EADD4" w:rsidR="00846E74" w:rsidRPr="008819DE" w:rsidRDefault="00846E74" w:rsidP="00846E74">
            <w:pPr>
              <w:jc w:val="center"/>
              <w:rPr>
                <w:bCs/>
                <w:sz w:val="18"/>
                <w:szCs w:val="20"/>
              </w:rPr>
            </w:pPr>
            <w:r w:rsidRPr="008819DE">
              <w:rPr>
                <w:bCs/>
                <w:sz w:val="18"/>
                <w:szCs w:val="20"/>
              </w:rPr>
              <w:t>280</w:t>
            </w:r>
          </w:p>
        </w:tc>
        <w:tc>
          <w:tcPr>
            <w:tcW w:w="664" w:type="dxa"/>
            <w:vAlign w:val="center"/>
          </w:tcPr>
          <w:p w14:paraId="311E766D" w14:textId="2EE9FB24" w:rsidR="00846E74" w:rsidRPr="008819DE" w:rsidRDefault="00846E74" w:rsidP="00846E74">
            <w:pPr>
              <w:jc w:val="center"/>
              <w:rPr>
                <w:bCs/>
                <w:sz w:val="18"/>
                <w:szCs w:val="20"/>
              </w:rPr>
            </w:pPr>
            <w:r>
              <w:rPr>
                <w:bCs/>
                <w:sz w:val="18"/>
                <w:szCs w:val="20"/>
              </w:rPr>
              <w:t>276</w:t>
            </w:r>
          </w:p>
        </w:tc>
        <w:tc>
          <w:tcPr>
            <w:tcW w:w="807" w:type="dxa"/>
            <w:vAlign w:val="center"/>
          </w:tcPr>
          <w:p w14:paraId="78B1FBC0" w14:textId="6226C31E" w:rsidR="00846E74" w:rsidRPr="008819DE" w:rsidRDefault="00846E74" w:rsidP="00846E74">
            <w:pPr>
              <w:jc w:val="center"/>
              <w:rPr>
                <w:bCs/>
                <w:sz w:val="18"/>
                <w:szCs w:val="20"/>
              </w:rPr>
            </w:pPr>
            <w:r w:rsidRPr="008819DE">
              <w:rPr>
                <w:bCs/>
                <w:sz w:val="18"/>
                <w:szCs w:val="20"/>
              </w:rPr>
              <w:t>117</w:t>
            </w:r>
          </w:p>
        </w:tc>
        <w:tc>
          <w:tcPr>
            <w:tcW w:w="664" w:type="dxa"/>
            <w:vAlign w:val="center"/>
          </w:tcPr>
          <w:p w14:paraId="5F13F1E1" w14:textId="18CF8A13" w:rsidR="00846E74" w:rsidRPr="008819DE" w:rsidRDefault="00846E74" w:rsidP="00846E74">
            <w:pPr>
              <w:jc w:val="center"/>
              <w:rPr>
                <w:bCs/>
                <w:sz w:val="18"/>
                <w:szCs w:val="20"/>
              </w:rPr>
            </w:pPr>
            <w:r>
              <w:rPr>
                <w:bCs/>
                <w:sz w:val="18"/>
                <w:szCs w:val="20"/>
              </w:rPr>
              <w:t>109</w:t>
            </w:r>
          </w:p>
        </w:tc>
        <w:tc>
          <w:tcPr>
            <w:tcW w:w="877" w:type="dxa"/>
            <w:vAlign w:val="center"/>
          </w:tcPr>
          <w:p w14:paraId="2301C549" w14:textId="250E519A" w:rsidR="00846E74" w:rsidRPr="008819DE" w:rsidRDefault="00846E74" w:rsidP="00846E74">
            <w:pPr>
              <w:jc w:val="center"/>
              <w:rPr>
                <w:bCs/>
                <w:sz w:val="18"/>
                <w:szCs w:val="20"/>
              </w:rPr>
            </w:pPr>
            <w:r>
              <w:rPr>
                <w:bCs/>
                <w:sz w:val="18"/>
                <w:szCs w:val="20"/>
              </w:rPr>
              <w:t>73</w:t>
            </w:r>
          </w:p>
        </w:tc>
        <w:tc>
          <w:tcPr>
            <w:tcW w:w="875" w:type="dxa"/>
            <w:vAlign w:val="center"/>
          </w:tcPr>
          <w:p w14:paraId="1B332BC4" w14:textId="5A12EC58" w:rsidR="00846E74" w:rsidRPr="008819DE" w:rsidRDefault="00846E74" w:rsidP="00846E74">
            <w:pPr>
              <w:jc w:val="center"/>
              <w:rPr>
                <w:bCs/>
                <w:sz w:val="18"/>
                <w:szCs w:val="20"/>
              </w:rPr>
            </w:pPr>
            <w:r w:rsidRPr="008819DE">
              <w:rPr>
                <w:bCs/>
                <w:sz w:val="18"/>
                <w:szCs w:val="20"/>
              </w:rPr>
              <w:t>390</w:t>
            </w:r>
          </w:p>
        </w:tc>
        <w:tc>
          <w:tcPr>
            <w:tcW w:w="693" w:type="dxa"/>
            <w:vAlign w:val="center"/>
          </w:tcPr>
          <w:p w14:paraId="1522CEAE" w14:textId="1DF2F512" w:rsidR="00846E74" w:rsidRPr="008819DE" w:rsidRDefault="00846E74" w:rsidP="00846E74">
            <w:pPr>
              <w:jc w:val="center"/>
              <w:rPr>
                <w:bCs/>
                <w:sz w:val="18"/>
                <w:szCs w:val="20"/>
              </w:rPr>
            </w:pPr>
            <w:r>
              <w:rPr>
                <w:bCs/>
                <w:sz w:val="18"/>
                <w:szCs w:val="20"/>
              </w:rPr>
              <w:t>333</w:t>
            </w:r>
          </w:p>
        </w:tc>
        <w:tc>
          <w:tcPr>
            <w:tcW w:w="764" w:type="dxa"/>
            <w:vAlign w:val="center"/>
          </w:tcPr>
          <w:p w14:paraId="735F9FD5" w14:textId="27568AF3" w:rsidR="00846E74" w:rsidRPr="008819DE" w:rsidRDefault="00846E74" w:rsidP="00846E74">
            <w:pPr>
              <w:jc w:val="center"/>
              <w:rPr>
                <w:bCs/>
                <w:sz w:val="18"/>
                <w:szCs w:val="20"/>
              </w:rPr>
            </w:pPr>
            <w:r w:rsidRPr="008819DE">
              <w:rPr>
                <w:bCs/>
                <w:sz w:val="18"/>
                <w:szCs w:val="20"/>
              </w:rPr>
              <w:t>216</w:t>
            </w:r>
          </w:p>
        </w:tc>
        <w:tc>
          <w:tcPr>
            <w:tcW w:w="664" w:type="dxa"/>
            <w:vAlign w:val="center"/>
          </w:tcPr>
          <w:p w14:paraId="3683982E" w14:textId="765A018F" w:rsidR="00846E74" w:rsidRPr="008819DE" w:rsidRDefault="00846E74" w:rsidP="00846E74">
            <w:pPr>
              <w:jc w:val="center"/>
              <w:rPr>
                <w:bCs/>
                <w:sz w:val="18"/>
                <w:szCs w:val="20"/>
              </w:rPr>
            </w:pPr>
            <w:r>
              <w:rPr>
                <w:bCs/>
                <w:sz w:val="18"/>
                <w:szCs w:val="20"/>
              </w:rPr>
              <w:t>203</w:t>
            </w:r>
          </w:p>
        </w:tc>
        <w:tc>
          <w:tcPr>
            <w:tcW w:w="714" w:type="dxa"/>
            <w:vAlign w:val="center"/>
          </w:tcPr>
          <w:p w14:paraId="7171E277" w14:textId="6D87E701" w:rsidR="00846E74" w:rsidRPr="008819DE" w:rsidRDefault="00846E74" w:rsidP="00846E74">
            <w:pPr>
              <w:jc w:val="center"/>
              <w:rPr>
                <w:bCs/>
                <w:sz w:val="18"/>
                <w:szCs w:val="20"/>
              </w:rPr>
            </w:pPr>
            <w:r w:rsidRPr="008819DE">
              <w:rPr>
                <w:bCs/>
                <w:sz w:val="18"/>
                <w:szCs w:val="20"/>
              </w:rPr>
              <w:t>60</w:t>
            </w:r>
          </w:p>
        </w:tc>
        <w:tc>
          <w:tcPr>
            <w:tcW w:w="693" w:type="dxa"/>
            <w:vAlign w:val="center"/>
          </w:tcPr>
          <w:p w14:paraId="3909F38E" w14:textId="389AC3EE" w:rsidR="00846E74" w:rsidRPr="008819DE" w:rsidRDefault="00846E74" w:rsidP="00846E74">
            <w:pPr>
              <w:jc w:val="center"/>
              <w:rPr>
                <w:bCs/>
                <w:sz w:val="18"/>
                <w:szCs w:val="20"/>
              </w:rPr>
            </w:pPr>
            <w:r>
              <w:rPr>
                <w:bCs/>
                <w:sz w:val="18"/>
                <w:szCs w:val="20"/>
              </w:rPr>
              <w:t>43</w:t>
            </w:r>
          </w:p>
        </w:tc>
      </w:tr>
      <w:tr w:rsidR="00846E74" w14:paraId="190AAF9C" w14:textId="77777777" w:rsidTr="001B65AC">
        <w:trPr>
          <w:trHeight w:val="346"/>
        </w:trPr>
        <w:tc>
          <w:tcPr>
            <w:tcW w:w="1277" w:type="dxa"/>
            <w:vAlign w:val="center"/>
          </w:tcPr>
          <w:p w14:paraId="745DFDC0" w14:textId="77777777" w:rsidR="00846E74" w:rsidRPr="003D47C4" w:rsidRDefault="00846E74" w:rsidP="00846E74">
            <w:pPr>
              <w:jc w:val="right"/>
              <w:rPr>
                <w:bCs/>
                <w:sz w:val="20"/>
              </w:rPr>
            </w:pPr>
            <w:r>
              <w:rPr>
                <w:bCs/>
                <w:sz w:val="20"/>
              </w:rPr>
              <w:t>Kindergarten</w:t>
            </w:r>
          </w:p>
        </w:tc>
        <w:tc>
          <w:tcPr>
            <w:tcW w:w="758" w:type="dxa"/>
            <w:vAlign w:val="center"/>
          </w:tcPr>
          <w:p w14:paraId="54DCAFB3" w14:textId="1A6F6E44" w:rsidR="00846E74" w:rsidRPr="008819DE" w:rsidRDefault="00846E74" w:rsidP="00846E74">
            <w:pPr>
              <w:jc w:val="center"/>
              <w:rPr>
                <w:bCs/>
                <w:sz w:val="18"/>
                <w:szCs w:val="20"/>
              </w:rPr>
            </w:pPr>
            <w:r w:rsidRPr="008819DE">
              <w:rPr>
                <w:bCs/>
                <w:sz w:val="18"/>
                <w:szCs w:val="20"/>
              </w:rPr>
              <w:t>40</w:t>
            </w:r>
          </w:p>
        </w:tc>
        <w:tc>
          <w:tcPr>
            <w:tcW w:w="664" w:type="dxa"/>
            <w:vAlign w:val="center"/>
          </w:tcPr>
          <w:p w14:paraId="314D5718" w14:textId="61544FA5" w:rsidR="00846E74" w:rsidRPr="008819DE" w:rsidRDefault="00846E74" w:rsidP="00846E74">
            <w:pPr>
              <w:jc w:val="center"/>
              <w:rPr>
                <w:bCs/>
                <w:sz w:val="18"/>
                <w:szCs w:val="20"/>
              </w:rPr>
            </w:pPr>
            <w:r>
              <w:rPr>
                <w:bCs/>
                <w:sz w:val="18"/>
                <w:szCs w:val="20"/>
              </w:rPr>
              <w:t>31</w:t>
            </w:r>
          </w:p>
        </w:tc>
        <w:tc>
          <w:tcPr>
            <w:tcW w:w="807" w:type="dxa"/>
            <w:vAlign w:val="center"/>
          </w:tcPr>
          <w:p w14:paraId="7F13113A" w14:textId="0418373C" w:rsidR="00846E74" w:rsidRPr="008819DE" w:rsidRDefault="00846E74" w:rsidP="00846E74">
            <w:pPr>
              <w:jc w:val="center"/>
              <w:rPr>
                <w:bCs/>
                <w:sz w:val="18"/>
                <w:szCs w:val="20"/>
              </w:rPr>
            </w:pPr>
            <w:r w:rsidRPr="008819DE">
              <w:rPr>
                <w:bCs/>
                <w:sz w:val="18"/>
                <w:szCs w:val="20"/>
              </w:rPr>
              <w:t>32</w:t>
            </w:r>
          </w:p>
        </w:tc>
        <w:tc>
          <w:tcPr>
            <w:tcW w:w="664" w:type="dxa"/>
            <w:vAlign w:val="center"/>
          </w:tcPr>
          <w:p w14:paraId="1988D249" w14:textId="6CF0BA5D" w:rsidR="00846E74" w:rsidRPr="008819DE" w:rsidRDefault="00846E74" w:rsidP="00846E74">
            <w:pPr>
              <w:jc w:val="center"/>
              <w:rPr>
                <w:bCs/>
                <w:sz w:val="18"/>
                <w:szCs w:val="20"/>
              </w:rPr>
            </w:pPr>
            <w:r>
              <w:rPr>
                <w:bCs/>
                <w:sz w:val="18"/>
                <w:szCs w:val="20"/>
              </w:rPr>
              <w:t>19</w:t>
            </w:r>
          </w:p>
        </w:tc>
        <w:tc>
          <w:tcPr>
            <w:tcW w:w="877" w:type="dxa"/>
            <w:vAlign w:val="center"/>
          </w:tcPr>
          <w:p w14:paraId="3DC6CA2B" w14:textId="315D52EB" w:rsidR="00846E74" w:rsidRPr="008819DE" w:rsidRDefault="00846E74" w:rsidP="00846E74">
            <w:pPr>
              <w:jc w:val="center"/>
              <w:rPr>
                <w:bCs/>
                <w:sz w:val="18"/>
                <w:szCs w:val="20"/>
              </w:rPr>
            </w:pPr>
            <w:r>
              <w:rPr>
                <w:bCs/>
                <w:sz w:val="18"/>
                <w:szCs w:val="20"/>
              </w:rPr>
              <w:t>40</w:t>
            </w:r>
          </w:p>
        </w:tc>
        <w:tc>
          <w:tcPr>
            <w:tcW w:w="875" w:type="dxa"/>
            <w:vAlign w:val="center"/>
          </w:tcPr>
          <w:p w14:paraId="30F809DF" w14:textId="15FA48C7" w:rsidR="00846E74" w:rsidRPr="008819DE" w:rsidRDefault="00846E74" w:rsidP="00846E74">
            <w:pPr>
              <w:jc w:val="center"/>
              <w:rPr>
                <w:bCs/>
                <w:sz w:val="18"/>
                <w:szCs w:val="20"/>
              </w:rPr>
            </w:pPr>
            <w:r w:rsidRPr="008819DE">
              <w:rPr>
                <w:bCs/>
                <w:sz w:val="18"/>
                <w:szCs w:val="20"/>
              </w:rPr>
              <w:t>67</w:t>
            </w:r>
          </w:p>
        </w:tc>
        <w:tc>
          <w:tcPr>
            <w:tcW w:w="693" w:type="dxa"/>
            <w:vAlign w:val="center"/>
          </w:tcPr>
          <w:p w14:paraId="369F7133" w14:textId="0CB078DA" w:rsidR="00846E74" w:rsidRPr="008819DE" w:rsidRDefault="00846E74" w:rsidP="00846E74">
            <w:pPr>
              <w:jc w:val="center"/>
              <w:rPr>
                <w:bCs/>
                <w:sz w:val="18"/>
                <w:szCs w:val="20"/>
              </w:rPr>
            </w:pPr>
            <w:r>
              <w:rPr>
                <w:bCs/>
                <w:sz w:val="18"/>
                <w:szCs w:val="20"/>
              </w:rPr>
              <w:t>40</w:t>
            </w:r>
          </w:p>
        </w:tc>
        <w:tc>
          <w:tcPr>
            <w:tcW w:w="764" w:type="dxa"/>
            <w:vAlign w:val="center"/>
          </w:tcPr>
          <w:p w14:paraId="1DC68C6B" w14:textId="3E1D46DF" w:rsidR="00846E74" w:rsidRPr="008819DE" w:rsidRDefault="00846E74" w:rsidP="00846E74">
            <w:pPr>
              <w:jc w:val="center"/>
              <w:rPr>
                <w:bCs/>
                <w:sz w:val="18"/>
                <w:szCs w:val="20"/>
              </w:rPr>
            </w:pPr>
            <w:r w:rsidRPr="008819DE">
              <w:rPr>
                <w:bCs/>
                <w:sz w:val="18"/>
                <w:szCs w:val="20"/>
              </w:rPr>
              <w:t>17</w:t>
            </w:r>
          </w:p>
        </w:tc>
        <w:tc>
          <w:tcPr>
            <w:tcW w:w="664" w:type="dxa"/>
            <w:vAlign w:val="center"/>
          </w:tcPr>
          <w:p w14:paraId="6505A502" w14:textId="75FAB3C5" w:rsidR="00846E74" w:rsidRPr="008819DE" w:rsidRDefault="00846E74" w:rsidP="00846E74">
            <w:pPr>
              <w:jc w:val="center"/>
              <w:rPr>
                <w:bCs/>
                <w:sz w:val="18"/>
                <w:szCs w:val="20"/>
              </w:rPr>
            </w:pPr>
            <w:r>
              <w:rPr>
                <w:bCs/>
                <w:sz w:val="18"/>
                <w:szCs w:val="20"/>
              </w:rPr>
              <w:t>18</w:t>
            </w:r>
          </w:p>
        </w:tc>
        <w:tc>
          <w:tcPr>
            <w:tcW w:w="714" w:type="dxa"/>
            <w:vAlign w:val="center"/>
          </w:tcPr>
          <w:p w14:paraId="24982A26" w14:textId="11B5F2FF" w:rsidR="00846E74" w:rsidRPr="008819DE" w:rsidRDefault="00846E74" w:rsidP="00846E74">
            <w:pPr>
              <w:jc w:val="center"/>
              <w:rPr>
                <w:bCs/>
                <w:sz w:val="18"/>
                <w:szCs w:val="20"/>
              </w:rPr>
            </w:pPr>
            <w:r w:rsidRPr="008819DE">
              <w:rPr>
                <w:bCs/>
                <w:sz w:val="18"/>
                <w:szCs w:val="20"/>
              </w:rPr>
              <w:t>---</w:t>
            </w:r>
          </w:p>
        </w:tc>
        <w:tc>
          <w:tcPr>
            <w:tcW w:w="693" w:type="dxa"/>
            <w:vAlign w:val="center"/>
          </w:tcPr>
          <w:p w14:paraId="7C95C745" w14:textId="7F3BF448" w:rsidR="00846E74" w:rsidRPr="008819DE" w:rsidRDefault="00846E74" w:rsidP="00846E74">
            <w:pPr>
              <w:jc w:val="center"/>
              <w:rPr>
                <w:bCs/>
                <w:sz w:val="18"/>
                <w:szCs w:val="20"/>
              </w:rPr>
            </w:pPr>
            <w:r>
              <w:rPr>
                <w:bCs/>
                <w:sz w:val="18"/>
                <w:szCs w:val="20"/>
              </w:rPr>
              <w:t>---</w:t>
            </w:r>
          </w:p>
        </w:tc>
      </w:tr>
      <w:tr w:rsidR="00846E74" w14:paraId="22D58550" w14:textId="77777777" w:rsidTr="001B65AC">
        <w:trPr>
          <w:trHeight w:val="346"/>
        </w:trPr>
        <w:tc>
          <w:tcPr>
            <w:tcW w:w="1277" w:type="dxa"/>
            <w:vAlign w:val="center"/>
          </w:tcPr>
          <w:p w14:paraId="49FFABCB" w14:textId="77777777" w:rsidR="00846E74" w:rsidRPr="003D47C4" w:rsidRDefault="00846E74" w:rsidP="00846E74">
            <w:pPr>
              <w:jc w:val="right"/>
              <w:rPr>
                <w:bCs/>
                <w:sz w:val="20"/>
              </w:rPr>
            </w:pPr>
            <w:r>
              <w:rPr>
                <w:bCs/>
                <w:sz w:val="20"/>
              </w:rPr>
              <w:t>1</w:t>
            </w:r>
            <w:r w:rsidRPr="003D47C4">
              <w:rPr>
                <w:bCs/>
                <w:sz w:val="20"/>
                <w:vertAlign w:val="superscript"/>
              </w:rPr>
              <w:t>st</w:t>
            </w:r>
            <w:r>
              <w:rPr>
                <w:bCs/>
                <w:sz w:val="20"/>
              </w:rPr>
              <w:t xml:space="preserve"> Grade</w:t>
            </w:r>
          </w:p>
        </w:tc>
        <w:tc>
          <w:tcPr>
            <w:tcW w:w="758" w:type="dxa"/>
            <w:vAlign w:val="center"/>
          </w:tcPr>
          <w:p w14:paraId="706E6675" w14:textId="3FE5EEC9" w:rsidR="00846E74" w:rsidRPr="008819DE" w:rsidRDefault="00846E74" w:rsidP="00846E74">
            <w:pPr>
              <w:jc w:val="center"/>
              <w:rPr>
                <w:bCs/>
                <w:sz w:val="18"/>
                <w:szCs w:val="20"/>
              </w:rPr>
            </w:pPr>
            <w:r w:rsidRPr="008819DE">
              <w:rPr>
                <w:bCs/>
                <w:sz w:val="18"/>
                <w:szCs w:val="20"/>
              </w:rPr>
              <w:t>44</w:t>
            </w:r>
          </w:p>
        </w:tc>
        <w:tc>
          <w:tcPr>
            <w:tcW w:w="664" w:type="dxa"/>
            <w:vAlign w:val="center"/>
          </w:tcPr>
          <w:p w14:paraId="565D7CEE" w14:textId="7A80564A" w:rsidR="00846E74" w:rsidRPr="008819DE" w:rsidRDefault="00846E74" w:rsidP="00846E74">
            <w:pPr>
              <w:jc w:val="center"/>
              <w:rPr>
                <w:bCs/>
                <w:sz w:val="18"/>
                <w:szCs w:val="20"/>
              </w:rPr>
            </w:pPr>
            <w:r>
              <w:rPr>
                <w:bCs/>
                <w:sz w:val="18"/>
                <w:szCs w:val="20"/>
              </w:rPr>
              <w:t>43</w:t>
            </w:r>
          </w:p>
        </w:tc>
        <w:tc>
          <w:tcPr>
            <w:tcW w:w="807" w:type="dxa"/>
            <w:vAlign w:val="center"/>
          </w:tcPr>
          <w:p w14:paraId="5B8E9BFD" w14:textId="300BAA67" w:rsidR="00846E74" w:rsidRPr="008819DE" w:rsidRDefault="00846E74" w:rsidP="00846E74">
            <w:pPr>
              <w:jc w:val="center"/>
              <w:rPr>
                <w:bCs/>
                <w:sz w:val="18"/>
                <w:szCs w:val="20"/>
              </w:rPr>
            </w:pPr>
            <w:r w:rsidRPr="008819DE">
              <w:rPr>
                <w:bCs/>
                <w:sz w:val="18"/>
                <w:szCs w:val="20"/>
              </w:rPr>
              <w:t>27</w:t>
            </w:r>
          </w:p>
        </w:tc>
        <w:tc>
          <w:tcPr>
            <w:tcW w:w="664" w:type="dxa"/>
            <w:vAlign w:val="center"/>
          </w:tcPr>
          <w:p w14:paraId="09031779" w14:textId="6A2A7C37" w:rsidR="00846E74" w:rsidRPr="008819DE" w:rsidRDefault="00846E74" w:rsidP="00846E74">
            <w:pPr>
              <w:jc w:val="center"/>
              <w:rPr>
                <w:bCs/>
                <w:sz w:val="18"/>
                <w:szCs w:val="20"/>
              </w:rPr>
            </w:pPr>
            <w:r>
              <w:rPr>
                <w:bCs/>
                <w:sz w:val="18"/>
                <w:szCs w:val="20"/>
              </w:rPr>
              <w:t>27</w:t>
            </w:r>
          </w:p>
        </w:tc>
        <w:tc>
          <w:tcPr>
            <w:tcW w:w="877" w:type="dxa"/>
            <w:vAlign w:val="center"/>
          </w:tcPr>
          <w:p w14:paraId="4657321C" w14:textId="6442D045" w:rsidR="00846E74" w:rsidRPr="008819DE" w:rsidRDefault="00846E74" w:rsidP="00846E74">
            <w:pPr>
              <w:jc w:val="center"/>
              <w:rPr>
                <w:bCs/>
                <w:sz w:val="18"/>
                <w:szCs w:val="20"/>
              </w:rPr>
            </w:pPr>
            <w:r>
              <w:rPr>
                <w:bCs/>
                <w:sz w:val="18"/>
                <w:szCs w:val="20"/>
              </w:rPr>
              <w:t>19</w:t>
            </w:r>
          </w:p>
        </w:tc>
        <w:tc>
          <w:tcPr>
            <w:tcW w:w="875" w:type="dxa"/>
            <w:vAlign w:val="center"/>
          </w:tcPr>
          <w:p w14:paraId="56A83946" w14:textId="0E469F3A" w:rsidR="00846E74" w:rsidRPr="008819DE" w:rsidRDefault="00846E74" w:rsidP="00846E74">
            <w:pPr>
              <w:jc w:val="center"/>
              <w:rPr>
                <w:bCs/>
                <w:sz w:val="18"/>
                <w:szCs w:val="20"/>
              </w:rPr>
            </w:pPr>
            <w:r w:rsidRPr="008819DE">
              <w:rPr>
                <w:bCs/>
                <w:sz w:val="18"/>
                <w:szCs w:val="20"/>
              </w:rPr>
              <w:t>67</w:t>
            </w:r>
          </w:p>
        </w:tc>
        <w:tc>
          <w:tcPr>
            <w:tcW w:w="693" w:type="dxa"/>
            <w:vAlign w:val="center"/>
          </w:tcPr>
          <w:p w14:paraId="0EAA14BD" w14:textId="6918F758" w:rsidR="00846E74" w:rsidRPr="008819DE" w:rsidRDefault="00846E74" w:rsidP="00846E74">
            <w:pPr>
              <w:jc w:val="center"/>
              <w:rPr>
                <w:bCs/>
                <w:sz w:val="18"/>
                <w:szCs w:val="20"/>
              </w:rPr>
            </w:pPr>
            <w:r>
              <w:rPr>
                <w:bCs/>
                <w:sz w:val="18"/>
                <w:szCs w:val="20"/>
              </w:rPr>
              <w:t>67</w:t>
            </w:r>
          </w:p>
        </w:tc>
        <w:tc>
          <w:tcPr>
            <w:tcW w:w="764" w:type="dxa"/>
            <w:vAlign w:val="center"/>
          </w:tcPr>
          <w:p w14:paraId="2DEA5620" w14:textId="0434B481" w:rsidR="00846E74" w:rsidRPr="008819DE" w:rsidRDefault="00846E74" w:rsidP="00846E74">
            <w:pPr>
              <w:jc w:val="center"/>
              <w:rPr>
                <w:bCs/>
                <w:sz w:val="18"/>
                <w:szCs w:val="20"/>
              </w:rPr>
            </w:pPr>
            <w:r w:rsidRPr="008819DE">
              <w:rPr>
                <w:bCs/>
                <w:sz w:val="18"/>
                <w:szCs w:val="20"/>
              </w:rPr>
              <w:t>22</w:t>
            </w:r>
          </w:p>
        </w:tc>
        <w:tc>
          <w:tcPr>
            <w:tcW w:w="664" w:type="dxa"/>
            <w:vAlign w:val="center"/>
          </w:tcPr>
          <w:p w14:paraId="11F6DDB3" w14:textId="2DCF9144" w:rsidR="00846E74" w:rsidRPr="008819DE" w:rsidRDefault="00846E74" w:rsidP="00846E74">
            <w:pPr>
              <w:jc w:val="center"/>
              <w:rPr>
                <w:bCs/>
                <w:sz w:val="18"/>
                <w:szCs w:val="20"/>
              </w:rPr>
            </w:pPr>
            <w:r>
              <w:rPr>
                <w:bCs/>
                <w:sz w:val="18"/>
                <w:szCs w:val="20"/>
              </w:rPr>
              <w:t>17</w:t>
            </w:r>
          </w:p>
        </w:tc>
        <w:tc>
          <w:tcPr>
            <w:tcW w:w="714" w:type="dxa"/>
            <w:vAlign w:val="center"/>
          </w:tcPr>
          <w:p w14:paraId="46A3C7DC" w14:textId="0C37EE31" w:rsidR="00846E74" w:rsidRPr="008819DE" w:rsidRDefault="00846E74" w:rsidP="00846E74">
            <w:pPr>
              <w:jc w:val="center"/>
              <w:rPr>
                <w:bCs/>
                <w:sz w:val="18"/>
                <w:szCs w:val="20"/>
              </w:rPr>
            </w:pPr>
            <w:r w:rsidRPr="008819DE">
              <w:rPr>
                <w:bCs/>
                <w:sz w:val="18"/>
                <w:szCs w:val="20"/>
              </w:rPr>
              <w:t>---</w:t>
            </w:r>
          </w:p>
        </w:tc>
        <w:tc>
          <w:tcPr>
            <w:tcW w:w="693" w:type="dxa"/>
            <w:vAlign w:val="center"/>
          </w:tcPr>
          <w:p w14:paraId="143726BB" w14:textId="364C4281" w:rsidR="00846E74" w:rsidRPr="008819DE" w:rsidRDefault="00846E74" w:rsidP="00846E74">
            <w:pPr>
              <w:jc w:val="center"/>
              <w:rPr>
                <w:bCs/>
                <w:sz w:val="18"/>
                <w:szCs w:val="20"/>
              </w:rPr>
            </w:pPr>
            <w:r>
              <w:rPr>
                <w:bCs/>
                <w:sz w:val="18"/>
                <w:szCs w:val="20"/>
              </w:rPr>
              <w:t>---</w:t>
            </w:r>
          </w:p>
        </w:tc>
      </w:tr>
      <w:tr w:rsidR="00846E74" w14:paraId="09C16782" w14:textId="77777777" w:rsidTr="001B65AC">
        <w:trPr>
          <w:trHeight w:val="346"/>
        </w:trPr>
        <w:tc>
          <w:tcPr>
            <w:tcW w:w="1277" w:type="dxa"/>
            <w:vAlign w:val="center"/>
          </w:tcPr>
          <w:p w14:paraId="74681C6F" w14:textId="77777777" w:rsidR="00846E74" w:rsidRPr="003D47C4" w:rsidRDefault="00846E74" w:rsidP="00846E74">
            <w:pPr>
              <w:jc w:val="right"/>
              <w:rPr>
                <w:bCs/>
                <w:sz w:val="20"/>
              </w:rPr>
            </w:pPr>
            <w:r>
              <w:rPr>
                <w:bCs/>
                <w:sz w:val="20"/>
              </w:rPr>
              <w:t>2</w:t>
            </w:r>
            <w:r w:rsidRPr="003D47C4">
              <w:rPr>
                <w:bCs/>
                <w:sz w:val="20"/>
                <w:vertAlign w:val="superscript"/>
              </w:rPr>
              <w:t>nd</w:t>
            </w:r>
            <w:r>
              <w:rPr>
                <w:bCs/>
                <w:sz w:val="20"/>
              </w:rPr>
              <w:t xml:space="preserve"> Grade</w:t>
            </w:r>
          </w:p>
        </w:tc>
        <w:tc>
          <w:tcPr>
            <w:tcW w:w="758" w:type="dxa"/>
            <w:vAlign w:val="center"/>
          </w:tcPr>
          <w:p w14:paraId="5917CE60" w14:textId="730664D1" w:rsidR="00846E74" w:rsidRPr="008819DE" w:rsidRDefault="00846E74" w:rsidP="00846E74">
            <w:pPr>
              <w:jc w:val="center"/>
              <w:rPr>
                <w:bCs/>
                <w:sz w:val="18"/>
                <w:szCs w:val="20"/>
              </w:rPr>
            </w:pPr>
            <w:r w:rsidRPr="008819DE">
              <w:rPr>
                <w:bCs/>
                <w:sz w:val="18"/>
                <w:szCs w:val="20"/>
              </w:rPr>
              <w:t>40</w:t>
            </w:r>
          </w:p>
        </w:tc>
        <w:tc>
          <w:tcPr>
            <w:tcW w:w="664" w:type="dxa"/>
            <w:vAlign w:val="center"/>
          </w:tcPr>
          <w:p w14:paraId="0155230D" w14:textId="287B3D8F" w:rsidR="00846E74" w:rsidRPr="008819DE" w:rsidRDefault="00846E74" w:rsidP="00846E74">
            <w:pPr>
              <w:jc w:val="center"/>
              <w:rPr>
                <w:bCs/>
                <w:sz w:val="18"/>
                <w:szCs w:val="20"/>
              </w:rPr>
            </w:pPr>
            <w:r>
              <w:rPr>
                <w:bCs/>
                <w:sz w:val="18"/>
                <w:szCs w:val="20"/>
              </w:rPr>
              <w:t>43</w:t>
            </w:r>
          </w:p>
        </w:tc>
        <w:tc>
          <w:tcPr>
            <w:tcW w:w="807" w:type="dxa"/>
            <w:vAlign w:val="center"/>
          </w:tcPr>
          <w:p w14:paraId="3A2E6BF6" w14:textId="4A94EE56" w:rsidR="00846E74" w:rsidRPr="008819DE" w:rsidRDefault="00846E74" w:rsidP="00846E74">
            <w:pPr>
              <w:jc w:val="center"/>
              <w:rPr>
                <w:bCs/>
                <w:sz w:val="18"/>
                <w:szCs w:val="20"/>
              </w:rPr>
            </w:pPr>
            <w:r w:rsidRPr="008819DE">
              <w:rPr>
                <w:bCs/>
                <w:sz w:val="18"/>
                <w:szCs w:val="20"/>
              </w:rPr>
              <w:t>16</w:t>
            </w:r>
          </w:p>
        </w:tc>
        <w:tc>
          <w:tcPr>
            <w:tcW w:w="664" w:type="dxa"/>
            <w:vAlign w:val="center"/>
          </w:tcPr>
          <w:p w14:paraId="21F085BA" w14:textId="7AEC42B0" w:rsidR="00846E74" w:rsidRPr="008819DE" w:rsidRDefault="00846E74" w:rsidP="00846E74">
            <w:pPr>
              <w:jc w:val="center"/>
              <w:rPr>
                <w:bCs/>
                <w:sz w:val="18"/>
                <w:szCs w:val="20"/>
              </w:rPr>
            </w:pPr>
            <w:r>
              <w:rPr>
                <w:bCs/>
                <w:sz w:val="18"/>
                <w:szCs w:val="20"/>
              </w:rPr>
              <w:t>24</w:t>
            </w:r>
          </w:p>
        </w:tc>
        <w:tc>
          <w:tcPr>
            <w:tcW w:w="877" w:type="dxa"/>
            <w:vAlign w:val="center"/>
          </w:tcPr>
          <w:p w14:paraId="62B14861" w14:textId="723CCB2B" w:rsidR="00846E74" w:rsidRPr="008819DE" w:rsidRDefault="00846E74" w:rsidP="00846E74">
            <w:pPr>
              <w:jc w:val="center"/>
              <w:rPr>
                <w:bCs/>
                <w:sz w:val="18"/>
                <w:szCs w:val="20"/>
              </w:rPr>
            </w:pPr>
            <w:r>
              <w:rPr>
                <w:bCs/>
                <w:sz w:val="18"/>
                <w:szCs w:val="20"/>
              </w:rPr>
              <w:t>14</w:t>
            </w:r>
          </w:p>
        </w:tc>
        <w:tc>
          <w:tcPr>
            <w:tcW w:w="875" w:type="dxa"/>
            <w:vAlign w:val="center"/>
          </w:tcPr>
          <w:p w14:paraId="2346E8D8" w14:textId="1A2A454D" w:rsidR="00846E74" w:rsidRPr="008819DE" w:rsidRDefault="00846E74" w:rsidP="00846E74">
            <w:pPr>
              <w:jc w:val="center"/>
              <w:rPr>
                <w:bCs/>
                <w:sz w:val="18"/>
                <w:szCs w:val="20"/>
              </w:rPr>
            </w:pPr>
            <w:r w:rsidRPr="008819DE">
              <w:rPr>
                <w:bCs/>
                <w:sz w:val="18"/>
                <w:szCs w:val="20"/>
              </w:rPr>
              <w:t>80</w:t>
            </w:r>
          </w:p>
        </w:tc>
        <w:tc>
          <w:tcPr>
            <w:tcW w:w="693" w:type="dxa"/>
            <w:vAlign w:val="center"/>
          </w:tcPr>
          <w:p w14:paraId="725F69C0" w14:textId="7DD5D4FD" w:rsidR="00846E74" w:rsidRPr="008819DE" w:rsidRDefault="00846E74" w:rsidP="00846E74">
            <w:pPr>
              <w:jc w:val="center"/>
              <w:rPr>
                <w:bCs/>
                <w:sz w:val="18"/>
                <w:szCs w:val="20"/>
              </w:rPr>
            </w:pPr>
            <w:r>
              <w:rPr>
                <w:bCs/>
                <w:sz w:val="18"/>
                <w:szCs w:val="20"/>
              </w:rPr>
              <w:t>59</w:t>
            </w:r>
          </w:p>
        </w:tc>
        <w:tc>
          <w:tcPr>
            <w:tcW w:w="764" w:type="dxa"/>
            <w:vAlign w:val="center"/>
          </w:tcPr>
          <w:p w14:paraId="5168EF4C" w14:textId="74FD6405" w:rsidR="00846E74" w:rsidRPr="008819DE" w:rsidRDefault="00846E74" w:rsidP="00846E74">
            <w:pPr>
              <w:jc w:val="center"/>
              <w:rPr>
                <w:bCs/>
                <w:sz w:val="18"/>
                <w:szCs w:val="20"/>
              </w:rPr>
            </w:pPr>
            <w:r w:rsidRPr="008819DE">
              <w:rPr>
                <w:bCs/>
                <w:sz w:val="18"/>
                <w:szCs w:val="20"/>
              </w:rPr>
              <w:t>20</w:t>
            </w:r>
          </w:p>
        </w:tc>
        <w:tc>
          <w:tcPr>
            <w:tcW w:w="664" w:type="dxa"/>
            <w:vAlign w:val="center"/>
          </w:tcPr>
          <w:p w14:paraId="41B11CE3" w14:textId="0F04AB8F" w:rsidR="00846E74" w:rsidRPr="008819DE" w:rsidRDefault="00846E74" w:rsidP="00846E74">
            <w:pPr>
              <w:jc w:val="center"/>
              <w:rPr>
                <w:bCs/>
                <w:sz w:val="18"/>
                <w:szCs w:val="20"/>
              </w:rPr>
            </w:pPr>
            <w:r>
              <w:rPr>
                <w:bCs/>
                <w:sz w:val="18"/>
                <w:szCs w:val="20"/>
              </w:rPr>
              <w:t>22</w:t>
            </w:r>
          </w:p>
        </w:tc>
        <w:tc>
          <w:tcPr>
            <w:tcW w:w="714" w:type="dxa"/>
            <w:vAlign w:val="center"/>
          </w:tcPr>
          <w:p w14:paraId="42AE07FB" w14:textId="58B98133" w:rsidR="00846E74" w:rsidRPr="008819DE" w:rsidRDefault="00846E74" w:rsidP="00846E74">
            <w:pPr>
              <w:jc w:val="center"/>
              <w:rPr>
                <w:bCs/>
                <w:sz w:val="18"/>
                <w:szCs w:val="20"/>
              </w:rPr>
            </w:pPr>
            <w:r w:rsidRPr="008819DE">
              <w:rPr>
                <w:bCs/>
                <w:sz w:val="18"/>
                <w:szCs w:val="20"/>
              </w:rPr>
              <w:t>---</w:t>
            </w:r>
          </w:p>
        </w:tc>
        <w:tc>
          <w:tcPr>
            <w:tcW w:w="693" w:type="dxa"/>
            <w:vAlign w:val="center"/>
          </w:tcPr>
          <w:p w14:paraId="29750805" w14:textId="16886AD5" w:rsidR="00846E74" w:rsidRPr="008819DE" w:rsidRDefault="00846E74" w:rsidP="00846E74">
            <w:pPr>
              <w:jc w:val="center"/>
              <w:rPr>
                <w:bCs/>
                <w:sz w:val="18"/>
                <w:szCs w:val="20"/>
              </w:rPr>
            </w:pPr>
            <w:r>
              <w:rPr>
                <w:bCs/>
                <w:sz w:val="18"/>
                <w:szCs w:val="20"/>
              </w:rPr>
              <w:t>---</w:t>
            </w:r>
          </w:p>
        </w:tc>
      </w:tr>
      <w:tr w:rsidR="00846E74" w14:paraId="39562A4D" w14:textId="77777777" w:rsidTr="001B65AC">
        <w:trPr>
          <w:trHeight w:val="346"/>
        </w:trPr>
        <w:tc>
          <w:tcPr>
            <w:tcW w:w="1277" w:type="dxa"/>
            <w:vAlign w:val="center"/>
          </w:tcPr>
          <w:p w14:paraId="5BACA8D6" w14:textId="77777777" w:rsidR="00846E74" w:rsidRPr="003D47C4" w:rsidRDefault="00846E74" w:rsidP="00846E74">
            <w:pPr>
              <w:jc w:val="right"/>
              <w:rPr>
                <w:bCs/>
                <w:sz w:val="20"/>
              </w:rPr>
            </w:pPr>
            <w:r>
              <w:rPr>
                <w:bCs/>
                <w:sz w:val="20"/>
              </w:rPr>
              <w:t>3</w:t>
            </w:r>
            <w:r w:rsidRPr="003D47C4">
              <w:rPr>
                <w:bCs/>
                <w:sz w:val="20"/>
                <w:vertAlign w:val="superscript"/>
              </w:rPr>
              <w:t>rd</w:t>
            </w:r>
            <w:r>
              <w:rPr>
                <w:bCs/>
                <w:sz w:val="20"/>
              </w:rPr>
              <w:t xml:space="preserve"> Grade</w:t>
            </w:r>
          </w:p>
        </w:tc>
        <w:tc>
          <w:tcPr>
            <w:tcW w:w="758" w:type="dxa"/>
            <w:vAlign w:val="center"/>
          </w:tcPr>
          <w:p w14:paraId="09D605F1" w14:textId="575690EC" w:rsidR="00846E74" w:rsidRPr="008819DE" w:rsidRDefault="00846E74" w:rsidP="00846E74">
            <w:pPr>
              <w:jc w:val="center"/>
              <w:rPr>
                <w:bCs/>
                <w:sz w:val="18"/>
                <w:szCs w:val="20"/>
              </w:rPr>
            </w:pPr>
            <w:r w:rsidRPr="008819DE">
              <w:rPr>
                <w:bCs/>
                <w:sz w:val="18"/>
                <w:szCs w:val="20"/>
              </w:rPr>
              <w:t>61</w:t>
            </w:r>
          </w:p>
        </w:tc>
        <w:tc>
          <w:tcPr>
            <w:tcW w:w="664" w:type="dxa"/>
            <w:vAlign w:val="center"/>
          </w:tcPr>
          <w:p w14:paraId="72AEAD1D" w14:textId="1AF5675A" w:rsidR="00846E74" w:rsidRPr="008819DE" w:rsidRDefault="00846E74" w:rsidP="00846E74">
            <w:pPr>
              <w:jc w:val="center"/>
              <w:rPr>
                <w:bCs/>
                <w:sz w:val="18"/>
                <w:szCs w:val="20"/>
              </w:rPr>
            </w:pPr>
            <w:r>
              <w:rPr>
                <w:bCs/>
                <w:sz w:val="18"/>
                <w:szCs w:val="20"/>
              </w:rPr>
              <w:t>45</w:t>
            </w:r>
          </w:p>
        </w:tc>
        <w:tc>
          <w:tcPr>
            <w:tcW w:w="807" w:type="dxa"/>
            <w:vAlign w:val="center"/>
          </w:tcPr>
          <w:p w14:paraId="32342513" w14:textId="4E882691" w:rsidR="00846E74" w:rsidRPr="008819DE" w:rsidRDefault="00846E74" w:rsidP="00846E74">
            <w:pPr>
              <w:jc w:val="center"/>
              <w:rPr>
                <w:bCs/>
                <w:sz w:val="18"/>
                <w:szCs w:val="20"/>
              </w:rPr>
            </w:pPr>
            <w:r w:rsidRPr="008819DE">
              <w:rPr>
                <w:bCs/>
                <w:sz w:val="18"/>
                <w:szCs w:val="20"/>
              </w:rPr>
              <w:t>12</w:t>
            </w:r>
          </w:p>
        </w:tc>
        <w:tc>
          <w:tcPr>
            <w:tcW w:w="664" w:type="dxa"/>
            <w:vAlign w:val="center"/>
          </w:tcPr>
          <w:p w14:paraId="157F2757" w14:textId="54C74BAD" w:rsidR="00846E74" w:rsidRPr="008819DE" w:rsidRDefault="00846E74" w:rsidP="00846E74">
            <w:pPr>
              <w:jc w:val="center"/>
              <w:rPr>
                <w:bCs/>
                <w:sz w:val="18"/>
                <w:szCs w:val="20"/>
              </w:rPr>
            </w:pPr>
            <w:r>
              <w:rPr>
                <w:bCs/>
                <w:sz w:val="18"/>
                <w:szCs w:val="20"/>
              </w:rPr>
              <w:t>13</w:t>
            </w:r>
          </w:p>
        </w:tc>
        <w:tc>
          <w:tcPr>
            <w:tcW w:w="877" w:type="dxa"/>
            <w:vAlign w:val="center"/>
          </w:tcPr>
          <w:p w14:paraId="1C7B8B07" w14:textId="214B243D" w:rsidR="00846E74" w:rsidRPr="008819DE" w:rsidRDefault="00846E74" w:rsidP="00846E74">
            <w:pPr>
              <w:jc w:val="center"/>
              <w:rPr>
                <w:bCs/>
                <w:sz w:val="18"/>
                <w:szCs w:val="20"/>
              </w:rPr>
            </w:pPr>
            <w:r>
              <w:rPr>
                <w:bCs/>
                <w:sz w:val="18"/>
                <w:szCs w:val="20"/>
              </w:rPr>
              <w:t>---</w:t>
            </w:r>
          </w:p>
        </w:tc>
        <w:tc>
          <w:tcPr>
            <w:tcW w:w="875" w:type="dxa"/>
            <w:vAlign w:val="center"/>
          </w:tcPr>
          <w:p w14:paraId="4A14FB7D" w14:textId="46328DED" w:rsidR="00846E74" w:rsidRPr="008819DE" w:rsidRDefault="00846E74" w:rsidP="00846E74">
            <w:pPr>
              <w:jc w:val="center"/>
              <w:rPr>
                <w:bCs/>
                <w:sz w:val="18"/>
                <w:szCs w:val="20"/>
              </w:rPr>
            </w:pPr>
            <w:r w:rsidRPr="008819DE">
              <w:rPr>
                <w:bCs/>
                <w:sz w:val="18"/>
                <w:szCs w:val="20"/>
              </w:rPr>
              <w:t>58</w:t>
            </w:r>
          </w:p>
        </w:tc>
        <w:tc>
          <w:tcPr>
            <w:tcW w:w="693" w:type="dxa"/>
            <w:vAlign w:val="center"/>
          </w:tcPr>
          <w:p w14:paraId="2200BDCF" w14:textId="0F58EEF1" w:rsidR="00846E74" w:rsidRPr="008819DE" w:rsidRDefault="00846E74" w:rsidP="00846E74">
            <w:pPr>
              <w:jc w:val="center"/>
              <w:rPr>
                <w:bCs/>
                <w:sz w:val="18"/>
                <w:szCs w:val="20"/>
              </w:rPr>
            </w:pPr>
            <w:r>
              <w:rPr>
                <w:bCs/>
                <w:sz w:val="18"/>
                <w:szCs w:val="20"/>
              </w:rPr>
              <w:t>66</w:t>
            </w:r>
          </w:p>
        </w:tc>
        <w:tc>
          <w:tcPr>
            <w:tcW w:w="764" w:type="dxa"/>
            <w:vAlign w:val="center"/>
          </w:tcPr>
          <w:p w14:paraId="117E680C" w14:textId="37F305A2" w:rsidR="00846E74" w:rsidRPr="008819DE" w:rsidRDefault="00846E74" w:rsidP="00846E74">
            <w:pPr>
              <w:jc w:val="center"/>
              <w:rPr>
                <w:bCs/>
                <w:sz w:val="18"/>
                <w:szCs w:val="20"/>
              </w:rPr>
            </w:pPr>
            <w:r w:rsidRPr="008819DE">
              <w:rPr>
                <w:bCs/>
                <w:sz w:val="18"/>
                <w:szCs w:val="20"/>
              </w:rPr>
              <w:t>20</w:t>
            </w:r>
          </w:p>
        </w:tc>
        <w:tc>
          <w:tcPr>
            <w:tcW w:w="664" w:type="dxa"/>
            <w:vAlign w:val="center"/>
          </w:tcPr>
          <w:p w14:paraId="396A5087" w14:textId="413635DC" w:rsidR="00846E74" w:rsidRPr="008819DE" w:rsidRDefault="00846E74" w:rsidP="00846E74">
            <w:pPr>
              <w:jc w:val="center"/>
              <w:rPr>
                <w:bCs/>
                <w:sz w:val="18"/>
                <w:szCs w:val="20"/>
              </w:rPr>
            </w:pPr>
            <w:r>
              <w:rPr>
                <w:bCs/>
                <w:sz w:val="18"/>
                <w:szCs w:val="20"/>
              </w:rPr>
              <w:t>20</w:t>
            </w:r>
          </w:p>
        </w:tc>
        <w:tc>
          <w:tcPr>
            <w:tcW w:w="714" w:type="dxa"/>
            <w:vAlign w:val="center"/>
          </w:tcPr>
          <w:p w14:paraId="3EA01F6A" w14:textId="5F9E7298" w:rsidR="00846E74" w:rsidRPr="008819DE" w:rsidRDefault="00846E74" w:rsidP="00846E74">
            <w:pPr>
              <w:jc w:val="center"/>
              <w:rPr>
                <w:bCs/>
                <w:sz w:val="18"/>
                <w:szCs w:val="20"/>
              </w:rPr>
            </w:pPr>
            <w:r w:rsidRPr="008819DE">
              <w:rPr>
                <w:bCs/>
                <w:sz w:val="18"/>
                <w:szCs w:val="20"/>
              </w:rPr>
              <w:t>---</w:t>
            </w:r>
          </w:p>
        </w:tc>
        <w:tc>
          <w:tcPr>
            <w:tcW w:w="693" w:type="dxa"/>
            <w:vAlign w:val="center"/>
          </w:tcPr>
          <w:p w14:paraId="1FE1ED37" w14:textId="056901EB" w:rsidR="00846E74" w:rsidRPr="008819DE" w:rsidRDefault="00846E74" w:rsidP="00846E74">
            <w:pPr>
              <w:jc w:val="center"/>
              <w:rPr>
                <w:bCs/>
                <w:sz w:val="18"/>
                <w:szCs w:val="20"/>
              </w:rPr>
            </w:pPr>
            <w:r>
              <w:rPr>
                <w:bCs/>
                <w:sz w:val="18"/>
                <w:szCs w:val="20"/>
              </w:rPr>
              <w:t>---</w:t>
            </w:r>
          </w:p>
        </w:tc>
      </w:tr>
      <w:tr w:rsidR="00846E74" w14:paraId="7C7CAFF2" w14:textId="77777777" w:rsidTr="001B65AC">
        <w:trPr>
          <w:trHeight w:val="346"/>
        </w:trPr>
        <w:tc>
          <w:tcPr>
            <w:tcW w:w="1277" w:type="dxa"/>
            <w:vAlign w:val="center"/>
          </w:tcPr>
          <w:p w14:paraId="39A1A537" w14:textId="77777777" w:rsidR="00846E74" w:rsidRPr="003D47C4" w:rsidRDefault="00846E74" w:rsidP="00846E74">
            <w:pPr>
              <w:jc w:val="right"/>
              <w:rPr>
                <w:bCs/>
                <w:sz w:val="20"/>
              </w:rPr>
            </w:pPr>
            <w:r>
              <w:rPr>
                <w:bCs/>
                <w:sz w:val="20"/>
              </w:rPr>
              <w:t>4</w:t>
            </w:r>
            <w:r w:rsidRPr="003D47C4">
              <w:rPr>
                <w:bCs/>
                <w:sz w:val="20"/>
                <w:vertAlign w:val="superscript"/>
              </w:rPr>
              <w:t>th</w:t>
            </w:r>
            <w:r>
              <w:rPr>
                <w:bCs/>
                <w:sz w:val="20"/>
              </w:rPr>
              <w:t xml:space="preserve"> Grade</w:t>
            </w:r>
          </w:p>
        </w:tc>
        <w:tc>
          <w:tcPr>
            <w:tcW w:w="758" w:type="dxa"/>
            <w:vAlign w:val="center"/>
          </w:tcPr>
          <w:p w14:paraId="094BEF46" w14:textId="2F029643" w:rsidR="00846E74" w:rsidRPr="008819DE" w:rsidRDefault="00846E74" w:rsidP="00846E74">
            <w:pPr>
              <w:jc w:val="center"/>
              <w:rPr>
                <w:bCs/>
                <w:sz w:val="18"/>
                <w:szCs w:val="20"/>
              </w:rPr>
            </w:pPr>
            <w:r w:rsidRPr="008819DE">
              <w:rPr>
                <w:bCs/>
                <w:sz w:val="18"/>
                <w:szCs w:val="20"/>
              </w:rPr>
              <w:t>52</w:t>
            </w:r>
          </w:p>
        </w:tc>
        <w:tc>
          <w:tcPr>
            <w:tcW w:w="664" w:type="dxa"/>
            <w:vAlign w:val="center"/>
          </w:tcPr>
          <w:p w14:paraId="4126FE10" w14:textId="538A9759" w:rsidR="00846E74" w:rsidRPr="008819DE" w:rsidRDefault="00846E74" w:rsidP="00846E74">
            <w:pPr>
              <w:jc w:val="center"/>
              <w:rPr>
                <w:bCs/>
                <w:sz w:val="18"/>
                <w:szCs w:val="20"/>
              </w:rPr>
            </w:pPr>
            <w:r>
              <w:rPr>
                <w:bCs/>
                <w:sz w:val="18"/>
                <w:szCs w:val="20"/>
              </w:rPr>
              <w:t>63</w:t>
            </w:r>
          </w:p>
        </w:tc>
        <w:tc>
          <w:tcPr>
            <w:tcW w:w="807" w:type="dxa"/>
            <w:vAlign w:val="center"/>
          </w:tcPr>
          <w:p w14:paraId="0FED770B" w14:textId="583C73E6" w:rsidR="00846E74" w:rsidRPr="008819DE" w:rsidRDefault="00846E74" w:rsidP="00846E74">
            <w:pPr>
              <w:jc w:val="center"/>
              <w:rPr>
                <w:bCs/>
                <w:sz w:val="18"/>
                <w:szCs w:val="20"/>
              </w:rPr>
            </w:pPr>
            <w:r w:rsidRPr="008819DE">
              <w:rPr>
                <w:bCs/>
                <w:sz w:val="18"/>
                <w:szCs w:val="20"/>
              </w:rPr>
              <w:t>15</w:t>
            </w:r>
          </w:p>
        </w:tc>
        <w:tc>
          <w:tcPr>
            <w:tcW w:w="664" w:type="dxa"/>
            <w:vAlign w:val="center"/>
          </w:tcPr>
          <w:p w14:paraId="23FCA28F" w14:textId="7CAF21DB" w:rsidR="00846E74" w:rsidRPr="008819DE" w:rsidRDefault="00846E74" w:rsidP="00846E74">
            <w:pPr>
              <w:jc w:val="center"/>
              <w:rPr>
                <w:bCs/>
                <w:sz w:val="18"/>
                <w:szCs w:val="20"/>
              </w:rPr>
            </w:pPr>
            <w:r>
              <w:rPr>
                <w:bCs/>
                <w:sz w:val="18"/>
                <w:szCs w:val="20"/>
              </w:rPr>
              <w:t>12</w:t>
            </w:r>
          </w:p>
        </w:tc>
        <w:tc>
          <w:tcPr>
            <w:tcW w:w="877" w:type="dxa"/>
            <w:vAlign w:val="center"/>
          </w:tcPr>
          <w:p w14:paraId="40A17AB2" w14:textId="5AB9F620" w:rsidR="00846E74" w:rsidRPr="008819DE" w:rsidRDefault="00846E74" w:rsidP="00846E74">
            <w:pPr>
              <w:jc w:val="center"/>
              <w:rPr>
                <w:bCs/>
                <w:sz w:val="18"/>
                <w:szCs w:val="20"/>
              </w:rPr>
            </w:pPr>
            <w:r>
              <w:rPr>
                <w:bCs/>
                <w:sz w:val="18"/>
                <w:szCs w:val="20"/>
              </w:rPr>
              <w:t>---</w:t>
            </w:r>
          </w:p>
        </w:tc>
        <w:tc>
          <w:tcPr>
            <w:tcW w:w="875" w:type="dxa"/>
            <w:vAlign w:val="center"/>
          </w:tcPr>
          <w:p w14:paraId="2DF51F51" w14:textId="4A913B6C" w:rsidR="00846E74" w:rsidRPr="008819DE" w:rsidRDefault="00846E74" w:rsidP="00846E74">
            <w:pPr>
              <w:jc w:val="center"/>
              <w:rPr>
                <w:bCs/>
                <w:sz w:val="18"/>
                <w:szCs w:val="20"/>
              </w:rPr>
            </w:pPr>
            <w:r w:rsidRPr="008819DE">
              <w:rPr>
                <w:bCs/>
                <w:sz w:val="18"/>
                <w:szCs w:val="20"/>
              </w:rPr>
              <w:t>46</w:t>
            </w:r>
          </w:p>
        </w:tc>
        <w:tc>
          <w:tcPr>
            <w:tcW w:w="693" w:type="dxa"/>
            <w:vAlign w:val="center"/>
          </w:tcPr>
          <w:p w14:paraId="2FBF3853" w14:textId="61D33EEF" w:rsidR="00846E74" w:rsidRPr="008819DE" w:rsidRDefault="00846E74" w:rsidP="00846E74">
            <w:pPr>
              <w:jc w:val="center"/>
              <w:rPr>
                <w:bCs/>
                <w:sz w:val="18"/>
                <w:szCs w:val="20"/>
              </w:rPr>
            </w:pPr>
            <w:r>
              <w:rPr>
                <w:bCs/>
                <w:sz w:val="18"/>
                <w:szCs w:val="20"/>
              </w:rPr>
              <w:t>60</w:t>
            </w:r>
          </w:p>
        </w:tc>
        <w:tc>
          <w:tcPr>
            <w:tcW w:w="764" w:type="dxa"/>
            <w:vAlign w:val="center"/>
          </w:tcPr>
          <w:p w14:paraId="55E09015" w14:textId="012BEE66" w:rsidR="00846E74" w:rsidRPr="008819DE" w:rsidRDefault="00846E74" w:rsidP="00846E74">
            <w:pPr>
              <w:jc w:val="center"/>
              <w:rPr>
                <w:bCs/>
                <w:sz w:val="18"/>
                <w:szCs w:val="20"/>
              </w:rPr>
            </w:pPr>
            <w:r w:rsidRPr="008819DE">
              <w:rPr>
                <w:bCs/>
                <w:sz w:val="18"/>
                <w:szCs w:val="20"/>
              </w:rPr>
              <w:t>13</w:t>
            </w:r>
          </w:p>
        </w:tc>
        <w:tc>
          <w:tcPr>
            <w:tcW w:w="664" w:type="dxa"/>
            <w:vAlign w:val="center"/>
          </w:tcPr>
          <w:p w14:paraId="23045DDB" w14:textId="57BD1981" w:rsidR="00846E74" w:rsidRPr="008819DE" w:rsidRDefault="00846E74" w:rsidP="00846E74">
            <w:pPr>
              <w:jc w:val="center"/>
              <w:rPr>
                <w:bCs/>
                <w:sz w:val="18"/>
                <w:szCs w:val="20"/>
              </w:rPr>
            </w:pPr>
            <w:r>
              <w:rPr>
                <w:bCs/>
                <w:sz w:val="18"/>
                <w:szCs w:val="20"/>
              </w:rPr>
              <w:t>21</w:t>
            </w:r>
          </w:p>
        </w:tc>
        <w:tc>
          <w:tcPr>
            <w:tcW w:w="714" w:type="dxa"/>
            <w:vAlign w:val="center"/>
          </w:tcPr>
          <w:p w14:paraId="7991676F" w14:textId="5C9F0EBA" w:rsidR="00846E74" w:rsidRPr="008819DE" w:rsidRDefault="00846E74" w:rsidP="00846E74">
            <w:pPr>
              <w:jc w:val="center"/>
              <w:rPr>
                <w:bCs/>
                <w:sz w:val="18"/>
                <w:szCs w:val="20"/>
              </w:rPr>
            </w:pPr>
            <w:r w:rsidRPr="008819DE">
              <w:rPr>
                <w:bCs/>
                <w:sz w:val="18"/>
                <w:szCs w:val="20"/>
              </w:rPr>
              <w:t>---</w:t>
            </w:r>
          </w:p>
        </w:tc>
        <w:tc>
          <w:tcPr>
            <w:tcW w:w="693" w:type="dxa"/>
            <w:vAlign w:val="center"/>
          </w:tcPr>
          <w:p w14:paraId="5A39F519" w14:textId="336D989A" w:rsidR="00846E74" w:rsidRPr="008819DE" w:rsidRDefault="00846E74" w:rsidP="00846E74">
            <w:pPr>
              <w:jc w:val="center"/>
              <w:rPr>
                <w:bCs/>
                <w:sz w:val="18"/>
                <w:szCs w:val="20"/>
              </w:rPr>
            </w:pPr>
            <w:r>
              <w:rPr>
                <w:bCs/>
                <w:sz w:val="18"/>
                <w:szCs w:val="20"/>
              </w:rPr>
              <w:t>---</w:t>
            </w:r>
          </w:p>
        </w:tc>
      </w:tr>
      <w:tr w:rsidR="00846E74" w14:paraId="18D1BD4C" w14:textId="77777777" w:rsidTr="001B65AC">
        <w:trPr>
          <w:trHeight w:val="346"/>
        </w:trPr>
        <w:tc>
          <w:tcPr>
            <w:tcW w:w="1277" w:type="dxa"/>
            <w:vAlign w:val="center"/>
          </w:tcPr>
          <w:p w14:paraId="5676DE62" w14:textId="77777777" w:rsidR="00846E74" w:rsidRPr="003D47C4" w:rsidRDefault="00846E74" w:rsidP="00846E74">
            <w:pPr>
              <w:jc w:val="right"/>
              <w:rPr>
                <w:bCs/>
                <w:sz w:val="20"/>
              </w:rPr>
            </w:pPr>
            <w:r>
              <w:rPr>
                <w:bCs/>
                <w:sz w:val="20"/>
              </w:rPr>
              <w:t>5</w:t>
            </w:r>
            <w:r w:rsidRPr="003D47C4">
              <w:rPr>
                <w:bCs/>
                <w:sz w:val="20"/>
                <w:vertAlign w:val="superscript"/>
              </w:rPr>
              <w:t>th</w:t>
            </w:r>
            <w:r>
              <w:rPr>
                <w:bCs/>
                <w:sz w:val="20"/>
              </w:rPr>
              <w:t xml:space="preserve"> Grade</w:t>
            </w:r>
          </w:p>
        </w:tc>
        <w:tc>
          <w:tcPr>
            <w:tcW w:w="758" w:type="dxa"/>
            <w:vAlign w:val="center"/>
          </w:tcPr>
          <w:p w14:paraId="293E3F07" w14:textId="114B4ABB" w:rsidR="00846E74" w:rsidRPr="008819DE" w:rsidRDefault="00846E74" w:rsidP="00846E74">
            <w:pPr>
              <w:jc w:val="center"/>
              <w:rPr>
                <w:bCs/>
                <w:sz w:val="18"/>
                <w:szCs w:val="20"/>
              </w:rPr>
            </w:pPr>
            <w:r w:rsidRPr="008819DE">
              <w:rPr>
                <w:bCs/>
                <w:sz w:val="18"/>
                <w:szCs w:val="20"/>
              </w:rPr>
              <w:t>43</w:t>
            </w:r>
          </w:p>
        </w:tc>
        <w:tc>
          <w:tcPr>
            <w:tcW w:w="664" w:type="dxa"/>
            <w:vAlign w:val="center"/>
          </w:tcPr>
          <w:p w14:paraId="5404B8D2" w14:textId="06DD1F41" w:rsidR="00846E74" w:rsidRPr="008819DE" w:rsidRDefault="00846E74" w:rsidP="00846E74">
            <w:pPr>
              <w:jc w:val="center"/>
              <w:rPr>
                <w:bCs/>
                <w:sz w:val="18"/>
                <w:szCs w:val="20"/>
              </w:rPr>
            </w:pPr>
            <w:r>
              <w:rPr>
                <w:bCs/>
                <w:sz w:val="18"/>
                <w:szCs w:val="20"/>
              </w:rPr>
              <w:t>51</w:t>
            </w:r>
          </w:p>
        </w:tc>
        <w:tc>
          <w:tcPr>
            <w:tcW w:w="807" w:type="dxa"/>
            <w:vAlign w:val="center"/>
          </w:tcPr>
          <w:p w14:paraId="543342DA" w14:textId="223715A0" w:rsidR="00846E74" w:rsidRPr="008819DE" w:rsidRDefault="00846E74" w:rsidP="00846E74">
            <w:pPr>
              <w:jc w:val="center"/>
              <w:rPr>
                <w:bCs/>
                <w:sz w:val="18"/>
                <w:szCs w:val="20"/>
              </w:rPr>
            </w:pPr>
            <w:r w:rsidRPr="008819DE">
              <w:rPr>
                <w:bCs/>
                <w:sz w:val="18"/>
                <w:szCs w:val="20"/>
              </w:rPr>
              <w:t>15</w:t>
            </w:r>
          </w:p>
        </w:tc>
        <w:tc>
          <w:tcPr>
            <w:tcW w:w="664" w:type="dxa"/>
            <w:vAlign w:val="center"/>
          </w:tcPr>
          <w:p w14:paraId="4D989AFB" w14:textId="65B2D1FB" w:rsidR="00846E74" w:rsidRPr="008819DE" w:rsidRDefault="00846E74" w:rsidP="00846E74">
            <w:pPr>
              <w:jc w:val="center"/>
              <w:rPr>
                <w:bCs/>
                <w:sz w:val="18"/>
                <w:szCs w:val="20"/>
              </w:rPr>
            </w:pPr>
            <w:r>
              <w:rPr>
                <w:bCs/>
                <w:sz w:val="18"/>
                <w:szCs w:val="20"/>
              </w:rPr>
              <w:t>14</w:t>
            </w:r>
          </w:p>
        </w:tc>
        <w:tc>
          <w:tcPr>
            <w:tcW w:w="877" w:type="dxa"/>
            <w:vAlign w:val="center"/>
          </w:tcPr>
          <w:p w14:paraId="530F54F7" w14:textId="2B240BC8" w:rsidR="00846E74" w:rsidRPr="008819DE" w:rsidRDefault="00846E74" w:rsidP="00846E74">
            <w:pPr>
              <w:jc w:val="center"/>
              <w:rPr>
                <w:bCs/>
                <w:sz w:val="18"/>
                <w:szCs w:val="20"/>
              </w:rPr>
            </w:pPr>
            <w:r>
              <w:rPr>
                <w:bCs/>
                <w:sz w:val="18"/>
                <w:szCs w:val="20"/>
              </w:rPr>
              <w:t>---</w:t>
            </w:r>
          </w:p>
        </w:tc>
        <w:tc>
          <w:tcPr>
            <w:tcW w:w="875" w:type="dxa"/>
            <w:vAlign w:val="center"/>
          </w:tcPr>
          <w:p w14:paraId="727E7DB3" w14:textId="0DECDE0D" w:rsidR="00846E74" w:rsidRPr="008819DE" w:rsidRDefault="00846E74" w:rsidP="00846E74">
            <w:pPr>
              <w:jc w:val="center"/>
              <w:rPr>
                <w:bCs/>
                <w:sz w:val="18"/>
                <w:szCs w:val="20"/>
              </w:rPr>
            </w:pPr>
            <w:r w:rsidRPr="008819DE">
              <w:rPr>
                <w:bCs/>
                <w:sz w:val="18"/>
                <w:szCs w:val="20"/>
              </w:rPr>
              <w:t>72</w:t>
            </w:r>
          </w:p>
        </w:tc>
        <w:tc>
          <w:tcPr>
            <w:tcW w:w="693" w:type="dxa"/>
            <w:vAlign w:val="center"/>
          </w:tcPr>
          <w:p w14:paraId="79A93928" w14:textId="00223730" w:rsidR="00846E74" w:rsidRPr="008819DE" w:rsidRDefault="00846E74" w:rsidP="00846E74">
            <w:pPr>
              <w:jc w:val="center"/>
              <w:rPr>
                <w:bCs/>
                <w:sz w:val="18"/>
                <w:szCs w:val="20"/>
              </w:rPr>
            </w:pPr>
            <w:r>
              <w:rPr>
                <w:bCs/>
                <w:sz w:val="18"/>
                <w:szCs w:val="20"/>
              </w:rPr>
              <w:t>41</w:t>
            </w:r>
          </w:p>
        </w:tc>
        <w:tc>
          <w:tcPr>
            <w:tcW w:w="764" w:type="dxa"/>
            <w:vAlign w:val="center"/>
          </w:tcPr>
          <w:p w14:paraId="6C029A8E" w14:textId="0D656AAB" w:rsidR="00846E74" w:rsidRPr="008819DE" w:rsidRDefault="00846E74" w:rsidP="00846E74">
            <w:pPr>
              <w:jc w:val="center"/>
              <w:rPr>
                <w:bCs/>
                <w:sz w:val="18"/>
                <w:szCs w:val="20"/>
              </w:rPr>
            </w:pPr>
            <w:r w:rsidRPr="008819DE">
              <w:rPr>
                <w:bCs/>
                <w:sz w:val="18"/>
                <w:szCs w:val="20"/>
              </w:rPr>
              <w:t>20</w:t>
            </w:r>
          </w:p>
        </w:tc>
        <w:tc>
          <w:tcPr>
            <w:tcW w:w="664" w:type="dxa"/>
            <w:vAlign w:val="center"/>
          </w:tcPr>
          <w:p w14:paraId="3AF0307F" w14:textId="0C8848E0" w:rsidR="00846E74" w:rsidRPr="008819DE" w:rsidRDefault="00846E74" w:rsidP="00846E74">
            <w:pPr>
              <w:jc w:val="center"/>
              <w:rPr>
                <w:bCs/>
                <w:sz w:val="18"/>
                <w:szCs w:val="20"/>
              </w:rPr>
            </w:pPr>
            <w:r>
              <w:rPr>
                <w:bCs/>
                <w:sz w:val="18"/>
                <w:szCs w:val="20"/>
              </w:rPr>
              <w:t>14</w:t>
            </w:r>
          </w:p>
        </w:tc>
        <w:tc>
          <w:tcPr>
            <w:tcW w:w="714" w:type="dxa"/>
            <w:vAlign w:val="center"/>
          </w:tcPr>
          <w:p w14:paraId="2B815C2B" w14:textId="5D04E9C8" w:rsidR="00846E74" w:rsidRPr="008819DE" w:rsidRDefault="00846E74" w:rsidP="00846E74">
            <w:pPr>
              <w:jc w:val="center"/>
              <w:rPr>
                <w:bCs/>
                <w:sz w:val="18"/>
                <w:szCs w:val="20"/>
              </w:rPr>
            </w:pPr>
            <w:r w:rsidRPr="008819DE">
              <w:rPr>
                <w:bCs/>
                <w:sz w:val="18"/>
                <w:szCs w:val="20"/>
              </w:rPr>
              <w:t>---</w:t>
            </w:r>
          </w:p>
        </w:tc>
        <w:tc>
          <w:tcPr>
            <w:tcW w:w="693" w:type="dxa"/>
            <w:vAlign w:val="center"/>
          </w:tcPr>
          <w:p w14:paraId="1CB9A3E8" w14:textId="3445DA5D" w:rsidR="00846E74" w:rsidRPr="008819DE" w:rsidRDefault="00846E74" w:rsidP="00846E74">
            <w:pPr>
              <w:jc w:val="center"/>
              <w:rPr>
                <w:bCs/>
                <w:sz w:val="18"/>
                <w:szCs w:val="20"/>
              </w:rPr>
            </w:pPr>
            <w:r>
              <w:rPr>
                <w:bCs/>
                <w:sz w:val="18"/>
                <w:szCs w:val="20"/>
              </w:rPr>
              <w:t>---</w:t>
            </w:r>
          </w:p>
        </w:tc>
      </w:tr>
      <w:tr w:rsidR="00846E74" w14:paraId="064289DD" w14:textId="77777777" w:rsidTr="001B65AC">
        <w:trPr>
          <w:trHeight w:val="346"/>
        </w:trPr>
        <w:tc>
          <w:tcPr>
            <w:tcW w:w="1277" w:type="dxa"/>
            <w:vAlign w:val="center"/>
          </w:tcPr>
          <w:p w14:paraId="4157C10F" w14:textId="77777777" w:rsidR="00846E74" w:rsidRPr="003D47C4" w:rsidRDefault="00846E74" w:rsidP="00846E74">
            <w:pPr>
              <w:jc w:val="right"/>
              <w:rPr>
                <w:bCs/>
                <w:sz w:val="20"/>
              </w:rPr>
            </w:pPr>
            <w:r>
              <w:rPr>
                <w:bCs/>
                <w:sz w:val="20"/>
              </w:rPr>
              <w:t>6</w:t>
            </w:r>
            <w:r w:rsidRPr="003D47C4">
              <w:rPr>
                <w:bCs/>
                <w:sz w:val="20"/>
                <w:vertAlign w:val="superscript"/>
              </w:rPr>
              <w:t>th</w:t>
            </w:r>
            <w:r>
              <w:rPr>
                <w:bCs/>
                <w:sz w:val="20"/>
              </w:rPr>
              <w:t xml:space="preserve"> Grade</w:t>
            </w:r>
          </w:p>
        </w:tc>
        <w:tc>
          <w:tcPr>
            <w:tcW w:w="758" w:type="dxa"/>
            <w:vAlign w:val="center"/>
          </w:tcPr>
          <w:p w14:paraId="5E963BFB" w14:textId="107E98DD" w:rsidR="00846E74" w:rsidRPr="008819DE" w:rsidRDefault="00846E74" w:rsidP="00846E74">
            <w:pPr>
              <w:jc w:val="center"/>
              <w:rPr>
                <w:bCs/>
                <w:sz w:val="18"/>
                <w:szCs w:val="20"/>
              </w:rPr>
            </w:pPr>
            <w:r w:rsidRPr="008819DE">
              <w:rPr>
                <w:bCs/>
                <w:sz w:val="18"/>
                <w:szCs w:val="20"/>
              </w:rPr>
              <w:t>---</w:t>
            </w:r>
          </w:p>
        </w:tc>
        <w:tc>
          <w:tcPr>
            <w:tcW w:w="664" w:type="dxa"/>
            <w:vAlign w:val="center"/>
          </w:tcPr>
          <w:p w14:paraId="4487FCBA" w14:textId="0E2CA91F" w:rsidR="00846E74" w:rsidRPr="008819DE" w:rsidRDefault="00846E74" w:rsidP="00846E74">
            <w:pPr>
              <w:jc w:val="center"/>
              <w:rPr>
                <w:bCs/>
                <w:sz w:val="18"/>
                <w:szCs w:val="20"/>
              </w:rPr>
            </w:pPr>
            <w:r>
              <w:rPr>
                <w:bCs/>
                <w:sz w:val="18"/>
                <w:szCs w:val="20"/>
              </w:rPr>
              <w:t>---</w:t>
            </w:r>
          </w:p>
        </w:tc>
        <w:tc>
          <w:tcPr>
            <w:tcW w:w="807" w:type="dxa"/>
            <w:vAlign w:val="center"/>
          </w:tcPr>
          <w:p w14:paraId="2FF73EAB" w14:textId="36455126" w:rsidR="00846E74" w:rsidRPr="008819DE" w:rsidRDefault="00846E74" w:rsidP="00846E74">
            <w:pPr>
              <w:jc w:val="center"/>
              <w:rPr>
                <w:bCs/>
                <w:sz w:val="18"/>
                <w:szCs w:val="20"/>
              </w:rPr>
            </w:pPr>
            <w:r w:rsidRPr="008819DE">
              <w:rPr>
                <w:bCs/>
                <w:sz w:val="18"/>
                <w:szCs w:val="20"/>
              </w:rPr>
              <w:t>---</w:t>
            </w:r>
          </w:p>
        </w:tc>
        <w:tc>
          <w:tcPr>
            <w:tcW w:w="664" w:type="dxa"/>
            <w:vAlign w:val="center"/>
          </w:tcPr>
          <w:p w14:paraId="3B2BEA75" w14:textId="4A356405" w:rsidR="00846E74" w:rsidRPr="008819DE" w:rsidRDefault="00846E74" w:rsidP="00846E74">
            <w:pPr>
              <w:jc w:val="center"/>
              <w:rPr>
                <w:bCs/>
                <w:sz w:val="18"/>
                <w:szCs w:val="20"/>
              </w:rPr>
            </w:pPr>
            <w:r>
              <w:rPr>
                <w:bCs/>
                <w:sz w:val="18"/>
                <w:szCs w:val="20"/>
              </w:rPr>
              <w:t>---</w:t>
            </w:r>
          </w:p>
        </w:tc>
        <w:tc>
          <w:tcPr>
            <w:tcW w:w="877" w:type="dxa"/>
            <w:vAlign w:val="center"/>
          </w:tcPr>
          <w:p w14:paraId="17546D21" w14:textId="20E4CF8D" w:rsidR="00846E74" w:rsidRPr="008819DE" w:rsidRDefault="00846E74" w:rsidP="00846E74">
            <w:pPr>
              <w:jc w:val="center"/>
              <w:rPr>
                <w:bCs/>
                <w:sz w:val="18"/>
                <w:szCs w:val="20"/>
              </w:rPr>
            </w:pPr>
            <w:r>
              <w:rPr>
                <w:bCs/>
                <w:sz w:val="18"/>
                <w:szCs w:val="20"/>
              </w:rPr>
              <w:t>---</w:t>
            </w:r>
          </w:p>
        </w:tc>
        <w:tc>
          <w:tcPr>
            <w:tcW w:w="875" w:type="dxa"/>
            <w:vAlign w:val="center"/>
          </w:tcPr>
          <w:p w14:paraId="1ECE5728" w14:textId="0E3B6312" w:rsidR="00846E74" w:rsidRPr="008819DE" w:rsidRDefault="00846E74" w:rsidP="00846E74">
            <w:pPr>
              <w:jc w:val="center"/>
              <w:rPr>
                <w:bCs/>
                <w:sz w:val="18"/>
                <w:szCs w:val="20"/>
              </w:rPr>
            </w:pPr>
            <w:r w:rsidRPr="008819DE">
              <w:rPr>
                <w:bCs/>
                <w:sz w:val="18"/>
                <w:szCs w:val="20"/>
              </w:rPr>
              <w:t>---</w:t>
            </w:r>
          </w:p>
        </w:tc>
        <w:tc>
          <w:tcPr>
            <w:tcW w:w="693" w:type="dxa"/>
            <w:vAlign w:val="center"/>
          </w:tcPr>
          <w:p w14:paraId="6CF26C66" w14:textId="495E40D7" w:rsidR="00846E74" w:rsidRPr="008819DE" w:rsidRDefault="00846E74" w:rsidP="00846E74">
            <w:pPr>
              <w:jc w:val="center"/>
              <w:rPr>
                <w:bCs/>
                <w:sz w:val="18"/>
                <w:szCs w:val="20"/>
              </w:rPr>
            </w:pPr>
            <w:r>
              <w:rPr>
                <w:bCs/>
                <w:sz w:val="18"/>
                <w:szCs w:val="20"/>
              </w:rPr>
              <w:t>---</w:t>
            </w:r>
          </w:p>
        </w:tc>
        <w:tc>
          <w:tcPr>
            <w:tcW w:w="764" w:type="dxa"/>
            <w:vAlign w:val="center"/>
          </w:tcPr>
          <w:p w14:paraId="2B358136" w14:textId="06B9CAAA" w:rsidR="00846E74" w:rsidRPr="008819DE" w:rsidRDefault="00846E74" w:rsidP="00846E74">
            <w:pPr>
              <w:jc w:val="center"/>
              <w:rPr>
                <w:bCs/>
                <w:sz w:val="18"/>
                <w:szCs w:val="20"/>
              </w:rPr>
            </w:pPr>
            <w:r w:rsidRPr="008819DE">
              <w:rPr>
                <w:bCs/>
                <w:sz w:val="18"/>
                <w:szCs w:val="20"/>
              </w:rPr>
              <w:t>31</w:t>
            </w:r>
          </w:p>
        </w:tc>
        <w:tc>
          <w:tcPr>
            <w:tcW w:w="664" w:type="dxa"/>
            <w:vAlign w:val="center"/>
          </w:tcPr>
          <w:p w14:paraId="3EAACDB5" w14:textId="63607923" w:rsidR="00846E74" w:rsidRPr="008819DE" w:rsidRDefault="00846E74" w:rsidP="00846E74">
            <w:pPr>
              <w:jc w:val="center"/>
              <w:rPr>
                <w:bCs/>
                <w:sz w:val="18"/>
                <w:szCs w:val="20"/>
              </w:rPr>
            </w:pPr>
            <w:r>
              <w:rPr>
                <w:bCs/>
                <w:sz w:val="18"/>
                <w:szCs w:val="20"/>
              </w:rPr>
              <w:t>26</w:t>
            </w:r>
          </w:p>
        </w:tc>
        <w:tc>
          <w:tcPr>
            <w:tcW w:w="714" w:type="dxa"/>
            <w:vAlign w:val="center"/>
          </w:tcPr>
          <w:p w14:paraId="39A27178" w14:textId="2089934C" w:rsidR="00846E74" w:rsidRPr="008819DE" w:rsidRDefault="00846E74" w:rsidP="00846E74">
            <w:pPr>
              <w:jc w:val="center"/>
              <w:rPr>
                <w:bCs/>
                <w:sz w:val="18"/>
                <w:szCs w:val="20"/>
              </w:rPr>
            </w:pPr>
            <w:r w:rsidRPr="008819DE">
              <w:rPr>
                <w:bCs/>
                <w:sz w:val="18"/>
                <w:szCs w:val="20"/>
              </w:rPr>
              <w:t>17</w:t>
            </w:r>
          </w:p>
        </w:tc>
        <w:tc>
          <w:tcPr>
            <w:tcW w:w="693" w:type="dxa"/>
            <w:vAlign w:val="center"/>
          </w:tcPr>
          <w:p w14:paraId="27E7E4D5" w14:textId="77B6F555" w:rsidR="00846E74" w:rsidRPr="008819DE" w:rsidRDefault="00846E74" w:rsidP="00846E74">
            <w:pPr>
              <w:jc w:val="center"/>
              <w:rPr>
                <w:bCs/>
                <w:sz w:val="18"/>
                <w:szCs w:val="20"/>
              </w:rPr>
            </w:pPr>
            <w:r>
              <w:rPr>
                <w:bCs/>
                <w:sz w:val="18"/>
                <w:szCs w:val="20"/>
              </w:rPr>
              <w:t>7</w:t>
            </w:r>
          </w:p>
        </w:tc>
      </w:tr>
      <w:tr w:rsidR="00846E74" w14:paraId="23255791" w14:textId="77777777" w:rsidTr="001B65AC">
        <w:trPr>
          <w:trHeight w:val="346"/>
        </w:trPr>
        <w:tc>
          <w:tcPr>
            <w:tcW w:w="1277" w:type="dxa"/>
            <w:vAlign w:val="center"/>
          </w:tcPr>
          <w:p w14:paraId="41AF8587" w14:textId="77777777" w:rsidR="00846E74" w:rsidRPr="003D47C4" w:rsidRDefault="00846E74" w:rsidP="00846E74">
            <w:pPr>
              <w:jc w:val="right"/>
              <w:rPr>
                <w:bCs/>
                <w:sz w:val="20"/>
              </w:rPr>
            </w:pPr>
            <w:r>
              <w:rPr>
                <w:bCs/>
                <w:sz w:val="20"/>
              </w:rPr>
              <w:t>7</w:t>
            </w:r>
            <w:r w:rsidRPr="003D47C4">
              <w:rPr>
                <w:bCs/>
                <w:sz w:val="20"/>
                <w:vertAlign w:val="superscript"/>
              </w:rPr>
              <w:t>th</w:t>
            </w:r>
            <w:r>
              <w:rPr>
                <w:bCs/>
                <w:sz w:val="20"/>
              </w:rPr>
              <w:t xml:space="preserve"> Grade</w:t>
            </w:r>
          </w:p>
        </w:tc>
        <w:tc>
          <w:tcPr>
            <w:tcW w:w="758" w:type="dxa"/>
            <w:vAlign w:val="center"/>
          </w:tcPr>
          <w:p w14:paraId="05A26643" w14:textId="63BB2136" w:rsidR="00846E74" w:rsidRPr="008819DE" w:rsidRDefault="00846E74" w:rsidP="00846E74">
            <w:pPr>
              <w:jc w:val="center"/>
              <w:rPr>
                <w:bCs/>
                <w:sz w:val="18"/>
                <w:szCs w:val="20"/>
              </w:rPr>
            </w:pPr>
            <w:r w:rsidRPr="008819DE">
              <w:rPr>
                <w:bCs/>
                <w:sz w:val="18"/>
                <w:szCs w:val="20"/>
              </w:rPr>
              <w:t>---</w:t>
            </w:r>
          </w:p>
        </w:tc>
        <w:tc>
          <w:tcPr>
            <w:tcW w:w="664" w:type="dxa"/>
            <w:vAlign w:val="center"/>
          </w:tcPr>
          <w:p w14:paraId="4239C021" w14:textId="362D7862" w:rsidR="00846E74" w:rsidRPr="008819DE" w:rsidRDefault="00846E74" w:rsidP="00846E74">
            <w:pPr>
              <w:jc w:val="center"/>
              <w:rPr>
                <w:bCs/>
                <w:sz w:val="18"/>
                <w:szCs w:val="20"/>
              </w:rPr>
            </w:pPr>
            <w:r>
              <w:rPr>
                <w:bCs/>
                <w:sz w:val="18"/>
                <w:szCs w:val="20"/>
              </w:rPr>
              <w:t>---</w:t>
            </w:r>
          </w:p>
        </w:tc>
        <w:tc>
          <w:tcPr>
            <w:tcW w:w="807" w:type="dxa"/>
            <w:vAlign w:val="center"/>
          </w:tcPr>
          <w:p w14:paraId="3C8C76C6" w14:textId="1C46F739" w:rsidR="00846E74" w:rsidRPr="008819DE" w:rsidRDefault="00846E74" w:rsidP="00846E74">
            <w:pPr>
              <w:jc w:val="center"/>
              <w:rPr>
                <w:bCs/>
                <w:sz w:val="18"/>
                <w:szCs w:val="20"/>
              </w:rPr>
            </w:pPr>
            <w:r w:rsidRPr="008819DE">
              <w:rPr>
                <w:bCs/>
                <w:sz w:val="18"/>
                <w:szCs w:val="20"/>
              </w:rPr>
              <w:t>---</w:t>
            </w:r>
          </w:p>
        </w:tc>
        <w:tc>
          <w:tcPr>
            <w:tcW w:w="664" w:type="dxa"/>
            <w:vAlign w:val="center"/>
          </w:tcPr>
          <w:p w14:paraId="73B55A06" w14:textId="3DFC5E2B" w:rsidR="00846E74" w:rsidRPr="008819DE" w:rsidRDefault="00846E74" w:rsidP="00846E74">
            <w:pPr>
              <w:jc w:val="center"/>
              <w:rPr>
                <w:bCs/>
                <w:sz w:val="18"/>
                <w:szCs w:val="20"/>
              </w:rPr>
            </w:pPr>
            <w:r>
              <w:rPr>
                <w:bCs/>
                <w:sz w:val="18"/>
                <w:szCs w:val="20"/>
              </w:rPr>
              <w:t>---</w:t>
            </w:r>
          </w:p>
        </w:tc>
        <w:tc>
          <w:tcPr>
            <w:tcW w:w="877" w:type="dxa"/>
            <w:vAlign w:val="center"/>
          </w:tcPr>
          <w:p w14:paraId="06DC7783" w14:textId="04FB0A2D" w:rsidR="00846E74" w:rsidRPr="008819DE" w:rsidRDefault="00846E74" w:rsidP="00846E74">
            <w:pPr>
              <w:jc w:val="center"/>
              <w:rPr>
                <w:bCs/>
                <w:sz w:val="18"/>
                <w:szCs w:val="20"/>
              </w:rPr>
            </w:pPr>
            <w:r>
              <w:rPr>
                <w:bCs/>
                <w:sz w:val="18"/>
                <w:szCs w:val="20"/>
              </w:rPr>
              <w:t>---</w:t>
            </w:r>
          </w:p>
        </w:tc>
        <w:tc>
          <w:tcPr>
            <w:tcW w:w="875" w:type="dxa"/>
            <w:vAlign w:val="center"/>
          </w:tcPr>
          <w:p w14:paraId="0F4B9F0E" w14:textId="1CEB3853" w:rsidR="00846E74" w:rsidRPr="008819DE" w:rsidRDefault="00846E74" w:rsidP="00846E74">
            <w:pPr>
              <w:jc w:val="center"/>
              <w:rPr>
                <w:bCs/>
                <w:sz w:val="18"/>
                <w:szCs w:val="20"/>
              </w:rPr>
            </w:pPr>
            <w:r w:rsidRPr="008819DE">
              <w:rPr>
                <w:bCs/>
                <w:sz w:val="18"/>
                <w:szCs w:val="20"/>
              </w:rPr>
              <w:t>---</w:t>
            </w:r>
          </w:p>
        </w:tc>
        <w:tc>
          <w:tcPr>
            <w:tcW w:w="693" w:type="dxa"/>
            <w:vAlign w:val="center"/>
          </w:tcPr>
          <w:p w14:paraId="63218DC3" w14:textId="1AE387C3" w:rsidR="00846E74" w:rsidRPr="008819DE" w:rsidRDefault="00846E74" w:rsidP="00846E74">
            <w:pPr>
              <w:jc w:val="center"/>
              <w:rPr>
                <w:bCs/>
                <w:sz w:val="18"/>
                <w:szCs w:val="20"/>
              </w:rPr>
            </w:pPr>
            <w:r>
              <w:rPr>
                <w:bCs/>
                <w:sz w:val="18"/>
                <w:szCs w:val="20"/>
              </w:rPr>
              <w:t>---</w:t>
            </w:r>
          </w:p>
        </w:tc>
        <w:tc>
          <w:tcPr>
            <w:tcW w:w="764" w:type="dxa"/>
            <w:vAlign w:val="center"/>
          </w:tcPr>
          <w:p w14:paraId="19485C17" w14:textId="20A07EA4" w:rsidR="00846E74" w:rsidRPr="008819DE" w:rsidRDefault="00846E74" w:rsidP="00846E74">
            <w:pPr>
              <w:jc w:val="center"/>
              <w:rPr>
                <w:bCs/>
                <w:sz w:val="18"/>
                <w:szCs w:val="20"/>
              </w:rPr>
            </w:pPr>
            <w:r w:rsidRPr="008819DE">
              <w:rPr>
                <w:bCs/>
                <w:sz w:val="18"/>
                <w:szCs w:val="20"/>
              </w:rPr>
              <w:t>36</w:t>
            </w:r>
          </w:p>
        </w:tc>
        <w:tc>
          <w:tcPr>
            <w:tcW w:w="664" w:type="dxa"/>
            <w:vAlign w:val="center"/>
          </w:tcPr>
          <w:p w14:paraId="0801A790" w14:textId="071423A9" w:rsidR="00846E74" w:rsidRPr="008819DE" w:rsidRDefault="00846E74" w:rsidP="00846E74">
            <w:pPr>
              <w:jc w:val="center"/>
              <w:rPr>
                <w:bCs/>
                <w:sz w:val="18"/>
                <w:szCs w:val="20"/>
              </w:rPr>
            </w:pPr>
            <w:r>
              <w:rPr>
                <w:bCs/>
                <w:sz w:val="18"/>
                <w:szCs w:val="20"/>
              </w:rPr>
              <w:t>32</w:t>
            </w:r>
          </w:p>
        </w:tc>
        <w:tc>
          <w:tcPr>
            <w:tcW w:w="714" w:type="dxa"/>
            <w:vAlign w:val="center"/>
          </w:tcPr>
          <w:p w14:paraId="4286048C" w14:textId="58E484D4" w:rsidR="00846E74" w:rsidRPr="008819DE" w:rsidRDefault="00846E74" w:rsidP="00846E74">
            <w:pPr>
              <w:jc w:val="center"/>
              <w:rPr>
                <w:bCs/>
                <w:sz w:val="18"/>
                <w:szCs w:val="20"/>
              </w:rPr>
            </w:pPr>
            <w:r w:rsidRPr="008819DE">
              <w:rPr>
                <w:bCs/>
                <w:sz w:val="18"/>
                <w:szCs w:val="20"/>
              </w:rPr>
              <w:t>16</w:t>
            </w:r>
          </w:p>
        </w:tc>
        <w:tc>
          <w:tcPr>
            <w:tcW w:w="693" w:type="dxa"/>
            <w:vAlign w:val="center"/>
          </w:tcPr>
          <w:p w14:paraId="2A694268" w14:textId="40EEADE6" w:rsidR="00846E74" w:rsidRPr="008819DE" w:rsidRDefault="00846E74" w:rsidP="00846E74">
            <w:pPr>
              <w:jc w:val="center"/>
              <w:rPr>
                <w:bCs/>
                <w:sz w:val="18"/>
                <w:szCs w:val="20"/>
              </w:rPr>
            </w:pPr>
            <w:r>
              <w:rPr>
                <w:bCs/>
                <w:sz w:val="18"/>
                <w:szCs w:val="20"/>
              </w:rPr>
              <w:t>19</w:t>
            </w:r>
          </w:p>
        </w:tc>
      </w:tr>
      <w:tr w:rsidR="00846E74" w14:paraId="539802E4" w14:textId="77777777" w:rsidTr="001B65AC">
        <w:trPr>
          <w:trHeight w:val="346"/>
        </w:trPr>
        <w:tc>
          <w:tcPr>
            <w:tcW w:w="1277" w:type="dxa"/>
            <w:vAlign w:val="center"/>
          </w:tcPr>
          <w:p w14:paraId="6A9D0999" w14:textId="77777777" w:rsidR="00846E74" w:rsidRPr="003D47C4" w:rsidRDefault="00846E74" w:rsidP="00846E74">
            <w:pPr>
              <w:jc w:val="right"/>
              <w:rPr>
                <w:bCs/>
                <w:sz w:val="20"/>
              </w:rPr>
            </w:pPr>
            <w:r>
              <w:rPr>
                <w:bCs/>
                <w:sz w:val="20"/>
              </w:rPr>
              <w:t>8</w:t>
            </w:r>
            <w:r w:rsidRPr="003D47C4">
              <w:rPr>
                <w:bCs/>
                <w:sz w:val="20"/>
                <w:vertAlign w:val="superscript"/>
              </w:rPr>
              <w:t>th</w:t>
            </w:r>
            <w:r>
              <w:rPr>
                <w:bCs/>
                <w:sz w:val="20"/>
              </w:rPr>
              <w:t xml:space="preserve"> Grade</w:t>
            </w:r>
          </w:p>
        </w:tc>
        <w:tc>
          <w:tcPr>
            <w:tcW w:w="758" w:type="dxa"/>
            <w:vAlign w:val="center"/>
          </w:tcPr>
          <w:p w14:paraId="25862E11" w14:textId="1CF60709" w:rsidR="00846E74" w:rsidRPr="008819DE" w:rsidRDefault="00846E74" w:rsidP="00846E74">
            <w:pPr>
              <w:jc w:val="center"/>
              <w:rPr>
                <w:bCs/>
                <w:sz w:val="18"/>
                <w:szCs w:val="20"/>
              </w:rPr>
            </w:pPr>
            <w:r w:rsidRPr="008819DE">
              <w:rPr>
                <w:bCs/>
                <w:sz w:val="18"/>
                <w:szCs w:val="20"/>
              </w:rPr>
              <w:t>---</w:t>
            </w:r>
          </w:p>
        </w:tc>
        <w:tc>
          <w:tcPr>
            <w:tcW w:w="664" w:type="dxa"/>
            <w:vAlign w:val="center"/>
          </w:tcPr>
          <w:p w14:paraId="27A202D7" w14:textId="2B5E5924" w:rsidR="00846E74" w:rsidRPr="008819DE" w:rsidRDefault="00846E74" w:rsidP="00846E74">
            <w:pPr>
              <w:jc w:val="center"/>
              <w:rPr>
                <w:bCs/>
                <w:sz w:val="18"/>
                <w:szCs w:val="20"/>
              </w:rPr>
            </w:pPr>
            <w:r>
              <w:rPr>
                <w:bCs/>
                <w:sz w:val="18"/>
                <w:szCs w:val="20"/>
              </w:rPr>
              <w:t>---</w:t>
            </w:r>
          </w:p>
        </w:tc>
        <w:tc>
          <w:tcPr>
            <w:tcW w:w="807" w:type="dxa"/>
            <w:vAlign w:val="center"/>
          </w:tcPr>
          <w:p w14:paraId="0D53C295" w14:textId="69870611" w:rsidR="00846E74" w:rsidRPr="008819DE" w:rsidRDefault="00846E74" w:rsidP="00846E74">
            <w:pPr>
              <w:jc w:val="center"/>
              <w:rPr>
                <w:bCs/>
                <w:sz w:val="18"/>
                <w:szCs w:val="20"/>
              </w:rPr>
            </w:pPr>
            <w:r w:rsidRPr="008819DE">
              <w:rPr>
                <w:bCs/>
                <w:sz w:val="18"/>
                <w:szCs w:val="20"/>
              </w:rPr>
              <w:t>---</w:t>
            </w:r>
          </w:p>
        </w:tc>
        <w:tc>
          <w:tcPr>
            <w:tcW w:w="664" w:type="dxa"/>
            <w:vAlign w:val="center"/>
          </w:tcPr>
          <w:p w14:paraId="615C84C0" w14:textId="6EDF75BE" w:rsidR="00846E74" w:rsidRPr="008819DE" w:rsidRDefault="00846E74" w:rsidP="00846E74">
            <w:pPr>
              <w:jc w:val="center"/>
              <w:rPr>
                <w:bCs/>
                <w:sz w:val="18"/>
                <w:szCs w:val="20"/>
              </w:rPr>
            </w:pPr>
            <w:r>
              <w:rPr>
                <w:bCs/>
                <w:sz w:val="18"/>
                <w:szCs w:val="20"/>
              </w:rPr>
              <w:t>---</w:t>
            </w:r>
          </w:p>
        </w:tc>
        <w:tc>
          <w:tcPr>
            <w:tcW w:w="877" w:type="dxa"/>
            <w:vAlign w:val="center"/>
          </w:tcPr>
          <w:p w14:paraId="3135BB4C" w14:textId="2DC20B6F" w:rsidR="00846E74" w:rsidRPr="008819DE" w:rsidRDefault="00846E74" w:rsidP="00846E74">
            <w:pPr>
              <w:jc w:val="center"/>
              <w:rPr>
                <w:bCs/>
                <w:sz w:val="18"/>
                <w:szCs w:val="20"/>
              </w:rPr>
            </w:pPr>
            <w:r>
              <w:rPr>
                <w:bCs/>
                <w:sz w:val="18"/>
                <w:szCs w:val="20"/>
              </w:rPr>
              <w:t>---</w:t>
            </w:r>
          </w:p>
        </w:tc>
        <w:tc>
          <w:tcPr>
            <w:tcW w:w="875" w:type="dxa"/>
            <w:vAlign w:val="center"/>
          </w:tcPr>
          <w:p w14:paraId="355DA38D" w14:textId="52E18846" w:rsidR="00846E74" w:rsidRPr="008819DE" w:rsidRDefault="00846E74" w:rsidP="00846E74">
            <w:pPr>
              <w:jc w:val="center"/>
              <w:rPr>
                <w:bCs/>
                <w:sz w:val="18"/>
                <w:szCs w:val="20"/>
              </w:rPr>
            </w:pPr>
            <w:r w:rsidRPr="008819DE">
              <w:rPr>
                <w:bCs/>
                <w:sz w:val="18"/>
                <w:szCs w:val="20"/>
              </w:rPr>
              <w:t>---</w:t>
            </w:r>
          </w:p>
        </w:tc>
        <w:tc>
          <w:tcPr>
            <w:tcW w:w="693" w:type="dxa"/>
            <w:vAlign w:val="center"/>
          </w:tcPr>
          <w:p w14:paraId="64581DFB" w14:textId="044F5D38" w:rsidR="00846E74" w:rsidRPr="008819DE" w:rsidRDefault="00846E74" w:rsidP="00846E74">
            <w:pPr>
              <w:jc w:val="center"/>
              <w:rPr>
                <w:bCs/>
                <w:sz w:val="18"/>
                <w:szCs w:val="20"/>
              </w:rPr>
            </w:pPr>
            <w:r>
              <w:rPr>
                <w:bCs/>
                <w:sz w:val="18"/>
                <w:szCs w:val="20"/>
              </w:rPr>
              <w:t>---</w:t>
            </w:r>
          </w:p>
        </w:tc>
        <w:tc>
          <w:tcPr>
            <w:tcW w:w="764" w:type="dxa"/>
            <w:vAlign w:val="center"/>
          </w:tcPr>
          <w:p w14:paraId="23830425" w14:textId="48270F1D" w:rsidR="00846E74" w:rsidRPr="008819DE" w:rsidRDefault="00846E74" w:rsidP="00846E74">
            <w:pPr>
              <w:jc w:val="center"/>
              <w:rPr>
                <w:bCs/>
                <w:sz w:val="18"/>
                <w:szCs w:val="20"/>
              </w:rPr>
            </w:pPr>
            <w:r w:rsidRPr="008819DE">
              <w:rPr>
                <w:bCs/>
                <w:sz w:val="18"/>
                <w:szCs w:val="20"/>
              </w:rPr>
              <w:t>37</w:t>
            </w:r>
          </w:p>
        </w:tc>
        <w:tc>
          <w:tcPr>
            <w:tcW w:w="664" w:type="dxa"/>
            <w:vAlign w:val="center"/>
          </w:tcPr>
          <w:p w14:paraId="7442D0BC" w14:textId="2AA8CC1C" w:rsidR="00846E74" w:rsidRPr="008819DE" w:rsidRDefault="00846E74" w:rsidP="00846E74">
            <w:pPr>
              <w:jc w:val="center"/>
              <w:rPr>
                <w:bCs/>
                <w:sz w:val="18"/>
                <w:szCs w:val="20"/>
              </w:rPr>
            </w:pPr>
            <w:r>
              <w:rPr>
                <w:bCs/>
                <w:sz w:val="18"/>
                <w:szCs w:val="20"/>
              </w:rPr>
              <w:t>33</w:t>
            </w:r>
          </w:p>
        </w:tc>
        <w:tc>
          <w:tcPr>
            <w:tcW w:w="714" w:type="dxa"/>
            <w:vAlign w:val="center"/>
          </w:tcPr>
          <w:p w14:paraId="424EBF92" w14:textId="51C89806" w:rsidR="00846E74" w:rsidRPr="008819DE" w:rsidRDefault="00846E74" w:rsidP="00846E74">
            <w:pPr>
              <w:jc w:val="center"/>
              <w:rPr>
                <w:bCs/>
                <w:sz w:val="18"/>
                <w:szCs w:val="20"/>
              </w:rPr>
            </w:pPr>
            <w:r w:rsidRPr="008819DE">
              <w:rPr>
                <w:bCs/>
                <w:sz w:val="18"/>
                <w:szCs w:val="20"/>
              </w:rPr>
              <w:t>27</w:t>
            </w:r>
          </w:p>
        </w:tc>
        <w:tc>
          <w:tcPr>
            <w:tcW w:w="693" w:type="dxa"/>
            <w:vAlign w:val="center"/>
          </w:tcPr>
          <w:p w14:paraId="621826DE" w14:textId="1F921950" w:rsidR="00846E74" w:rsidRPr="008819DE" w:rsidRDefault="00846E74" w:rsidP="00846E74">
            <w:pPr>
              <w:jc w:val="center"/>
              <w:rPr>
                <w:bCs/>
                <w:sz w:val="18"/>
                <w:szCs w:val="20"/>
              </w:rPr>
            </w:pPr>
            <w:r>
              <w:rPr>
                <w:bCs/>
                <w:sz w:val="18"/>
                <w:szCs w:val="20"/>
              </w:rPr>
              <w:t>17</w:t>
            </w:r>
          </w:p>
        </w:tc>
      </w:tr>
      <w:tr w:rsidR="00846E74" w14:paraId="3D0E4FF3" w14:textId="77777777" w:rsidTr="001B65AC">
        <w:trPr>
          <w:trHeight w:val="346"/>
        </w:trPr>
        <w:tc>
          <w:tcPr>
            <w:tcW w:w="1277" w:type="dxa"/>
            <w:vAlign w:val="center"/>
          </w:tcPr>
          <w:p w14:paraId="09B3C26B" w14:textId="77777777" w:rsidR="00846E74" w:rsidRDefault="00846E74" w:rsidP="00846E74">
            <w:pPr>
              <w:jc w:val="right"/>
              <w:rPr>
                <w:bCs/>
                <w:sz w:val="20"/>
              </w:rPr>
            </w:pPr>
            <w:r>
              <w:rPr>
                <w:bCs/>
                <w:sz w:val="20"/>
              </w:rPr>
              <w:t>Male</w:t>
            </w:r>
          </w:p>
        </w:tc>
        <w:tc>
          <w:tcPr>
            <w:tcW w:w="758" w:type="dxa"/>
            <w:vAlign w:val="center"/>
          </w:tcPr>
          <w:p w14:paraId="50363153" w14:textId="2578A5C2" w:rsidR="00846E74" w:rsidRPr="008819DE" w:rsidRDefault="00846E74" w:rsidP="00846E74">
            <w:pPr>
              <w:jc w:val="center"/>
              <w:rPr>
                <w:bCs/>
                <w:sz w:val="18"/>
                <w:szCs w:val="20"/>
              </w:rPr>
            </w:pPr>
            <w:r w:rsidRPr="008819DE">
              <w:rPr>
                <w:bCs/>
                <w:sz w:val="18"/>
                <w:szCs w:val="20"/>
              </w:rPr>
              <w:t>50.0%</w:t>
            </w:r>
          </w:p>
        </w:tc>
        <w:tc>
          <w:tcPr>
            <w:tcW w:w="664" w:type="dxa"/>
            <w:vAlign w:val="center"/>
          </w:tcPr>
          <w:p w14:paraId="4A0F2EAB" w14:textId="5D8E8AC6" w:rsidR="00846E74" w:rsidRPr="008819DE" w:rsidRDefault="00846E74" w:rsidP="00846E74">
            <w:pPr>
              <w:jc w:val="center"/>
              <w:rPr>
                <w:bCs/>
                <w:sz w:val="18"/>
                <w:szCs w:val="20"/>
              </w:rPr>
            </w:pPr>
            <w:r>
              <w:rPr>
                <w:bCs/>
                <w:sz w:val="18"/>
                <w:szCs w:val="20"/>
              </w:rPr>
              <w:t>48.6%</w:t>
            </w:r>
          </w:p>
        </w:tc>
        <w:tc>
          <w:tcPr>
            <w:tcW w:w="807" w:type="dxa"/>
            <w:vAlign w:val="center"/>
          </w:tcPr>
          <w:p w14:paraId="437E3714" w14:textId="7C00BB80" w:rsidR="00846E74" w:rsidRPr="008819DE" w:rsidRDefault="00846E74" w:rsidP="00846E74">
            <w:pPr>
              <w:jc w:val="center"/>
              <w:rPr>
                <w:bCs/>
                <w:sz w:val="18"/>
                <w:szCs w:val="20"/>
              </w:rPr>
            </w:pPr>
            <w:r w:rsidRPr="008819DE">
              <w:rPr>
                <w:bCs/>
                <w:sz w:val="18"/>
                <w:szCs w:val="20"/>
              </w:rPr>
              <w:t>56.4%</w:t>
            </w:r>
          </w:p>
        </w:tc>
        <w:tc>
          <w:tcPr>
            <w:tcW w:w="664" w:type="dxa"/>
            <w:vAlign w:val="center"/>
          </w:tcPr>
          <w:p w14:paraId="5C13D5C0" w14:textId="0DB4DC68" w:rsidR="00846E74" w:rsidRPr="008819DE" w:rsidRDefault="00846E74" w:rsidP="00846E74">
            <w:pPr>
              <w:jc w:val="center"/>
              <w:rPr>
                <w:bCs/>
                <w:sz w:val="18"/>
                <w:szCs w:val="20"/>
              </w:rPr>
            </w:pPr>
            <w:r>
              <w:rPr>
                <w:bCs/>
                <w:sz w:val="18"/>
                <w:szCs w:val="20"/>
              </w:rPr>
              <w:t>56.9%</w:t>
            </w:r>
          </w:p>
        </w:tc>
        <w:tc>
          <w:tcPr>
            <w:tcW w:w="877" w:type="dxa"/>
            <w:vAlign w:val="center"/>
          </w:tcPr>
          <w:p w14:paraId="6024BED8" w14:textId="083D65D0" w:rsidR="00846E74" w:rsidRPr="008819DE" w:rsidRDefault="00846E74" w:rsidP="00846E74">
            <w:pPr>
              <w:jc w:val="center"/>
              <w:rPr>
                <w:bCs/>
                <w:sz w:val="18"/>
                <w:szCs w:val="20"/>
              </w:rPr>
            </w:pPr>
            <w:r>
              <w:rPr>
                <w:bCs/>
                <w:sz w:val="18"/>
                <w:szCs w:val="20"/>
              </w:rPr>
              <w:t>57.5%</w:t>
            </w:r>
          </w:p>
        </w:tc>
        <w:tc>
          <w:tcPr>
            <w:tcW w:w="875" w:type="dxa"/>
            <w:vAlign w:val="center"/>
          </w:tcPr>
          <w:p w14:paraId="7FFC1EA2" w14:textId="755F3297" w:rsidR="00846E74" w:rsidRPr="008819DE" w:rsidRDefault="00846E74" w:rsidP="00846E74">
            <w:pPr>
              <w:jc w:val="center"/>
              <w:rPr>
                <w:bCs/>
                <w:sz w:val="18"/>
                <w:szCs w:val="20"/>
              </w:rPr>
            </w:pPr>
            <w:r w:rsidRPr="008819DE">
              <w:rPr>
                <w:bCs/>
                <w:sz w:val="18"/>
                <w:szCs w:val="20"/>
              </w:rPr>
              <w:t>56.4%</w:t>
            </w:r>
          </w:p>
        </w:tc>
        <w:tc>
          <w:tcPr>
            <w:tcW w:w="693" w:type="dxa"/>
            <w:vAlign w:val="center"/>
          </w:tcPr>
          <w:p w14:paraId="06301EAC" w14:textId="73B7EC81" w:rsidR="00846E74" w:rsidRPr="008819DE" w:rsidRDefault="00846E74" w:rsidP="00846E74">
            <w:pPr>
              <w:jc w:val="center"/>
              <w:rPr>
                <w:bCs/>
                <w:sz w:val="18"/>
                <w:szCs w:val="20"/>
              </w:rPr>
            </w:pPr>
            <w:r>
              <w:rPr>
                <w:bCs/>
                <w:sz w:val="18"/>
                <w:szCs w:val="20"/>
              </w:rPr>
              <w:t>56.8%</w:t>
            </w:r>
          </w:p>
        </w:tc>
        <w:tc>
          <w:tcPr>
            <w:tcW w:w="764" w:type="dxa"/>
            <w:vAlign w:val="center"/>
          </w:tcPr>
          <w:p w14:paraId="7F155CA9" w14:textId="1D7BB034" w:rsidR="00846E74" w:rsidRPr="008819DE" w:rsidRDefault="00846E74" w:rsidP="00846E74">
            <w:pPr>
              <w:jc w:val="center"/>
              <w:rPr>
                <w:bCs/>
                <w:sz w:val="18"/>
                <w:szCs w:val="20"/>
              </w:rPr>
            </w:pPr>
            <w:r w:rsidRPr="008819DE">
              <w:rPr>
                <w:bCs/>
                <w:sz w:val="18"/>
                <w:szCs w:val="20"/>
              </w:rPr>
              <w:t>54.2%</w:t>
            </w:r>
          </w:p>
        </w:tc>
        <w:tc>
          <w:tcPr>
            <w:tcW w:w="664" w:type="dxa"/>
            <w:vAlign w:val="center"/>
          </w:tcPr>
          <w:p w14:paraId="7190B7BA" w14:textId="28AB0D1D" w:rsidR="00846E74" w:rsidRPr="008819DE" w:rsidRDefault="00846E74" w:rsidP="00846E74">
            <w:pPr>
              <w:jc w:val="center"/>
              <w:rPr>
                <w:bCs/>
                <w:sz w:val="18"/>
                <w:szCs w:val="20"/>
              </w:rPr>
            </w:pPr>
            <w:r>
              <w:rPr>
                <w:bCs/>
                <w:sz w:val="18"/>
                <w:szCs w:val="20"/>
              </w:rPr>
              <w:t>53.7%</w:t>
            </w:r>
          </w:p>
        </w:tc>
        <w:tc>
          <w:tcPr>
            <w:tcW w:w="714" w:type="dxa"/>
            <w:vAlign w:val="center"/>
          </w:tcPr>
          <w:p w14:paraId="57E54FFB" w14:textId="177D044F" w:rsidR="00846E74" w:rsidRPr="008819DE" w:rsidRDefault="00846E74" w:rsidP="00846E74">
            <w:pPr>
              <w:jc w:val="center"/>
              <w:rPr>
                <w:bCs/>
                <w:sz w:val="18"/>
                <w:szCs w:val="20"/>
              </w:rPr>
            </w:pPr>
            <w:r w:rsidRPr="008819DE">
              <w:rPr>
                <w:bCs/>
                <w:sz w:val="18"/>
                <w:szCs w:val="20"/>
              </w:rPr>
              <w:t>45.0%</w:t>
            </w:r>
          </w:p>
        </w:tc>
        <w:tc>
          <w:tcPr>
            <w:tcW w:w="693" w:type="dxa"/>
            <w:vAlign w:val="center"/>
          </w:tcPr>
          <w:p w14:paraId="133A424D" w14:textId="42E1D3DA" w:rsidR="00846E74" w:rsidRPr="008819DE" w:rsidRDefault="00846E74" w:rsidP="00846E74">
            <w:pPr>
              <w:jc w:val="center"/>
              <w:rPr>
                <w:bCs/>
                <w:sz w:val="18"/>
                <w:szCs w:val="20"/>
              </w:rPr>
            </w:pPr>
            <w:r>
              <w:rPr>
                <w:bCs/>
                <w:sz w:val="18"/>
                <w:szCs w:val="20"/>
              </w:rPr>
              <w:t>48.8%</w:t>
            </w:r>
          </w:p>
        </w:tc>
      </w:tr>
      <w:tr w:rsidR="00846E74" w14:paraId="010B9A5C" w14:textId="77777777" w:rsidTr="001B65AC">
        <w:trPr>
          <w:trHeight w:val="346"/>
        </w:trPr>
        <w:tc>
          <w:tcPr>
            <w:tcW w:w="1277" w:type="dxa"/>
            <w:vAlign w:val="center"/>
          </w:tcPr>
          <w:p w14:paraId="691DFE28" w14:textId="77777777" w:rsidR="00846E74" w:rsidRDefault="00846E74" w:rsidP="00846E74">
            <w:pPr>
              <w:jc w:val="right"/>
              <w:rPr>
                <w:bCs/>
                <w:sz w:val="20"/>
              </w:rPr>
            </w:pPr>
            <w:r>
              <w:rPr>
                <w:bCs/>
                <w:sz w:val="20"/>
              </w:rPr>
              <w:t>White</w:t>
            </w:r>
          </w:p>
        </w:tc>
        <w:tc>
          <w:tcPr>
            <w:tcW w:w="758" w:type="dxa"/>
            <w:vAlign w:val="center"/>
          </w:tcPr>
          <w:p w14:paraId="3EAC3F6A" w14:textId="207BD3E0" w:rsidR="00846E74" w:rsidRPr="008819DE" w:rsidRDefault="00846E74" w:rsidP="00846E74">
            <w:pPr>
              <w:jc w:val="center"/>
              <w:rPr>
                <w:bCs/>
                <w:sz w:val="18"/>
                <w:szCs w:val="20"/>
              </w:rPr>
            </w:pPr>
            <w:r w:rsidRPr="008819DE">
              <w:rPr>
                <w:bCs/>
                <w:sz w:val="18"/>
                <w:szCs w:val="20"/>
              </w:rPr>
              <w:t>7.1%</w:t>
            </w:r>
          </w:p>
        </w:tc>
        <w:tc>
          <w:tcPr>
            <w:tcW w:w="664" w:type="dxa"/>
            <w:vAlign w:val="center"/>
          </w:tcPr>
          <w:p w14:paraId="71099B26" w14:textId="406EBFD2" w:rsidR="00846E74" w:rsidRPr="008819DE" w:rsidRDefault="00846E74" w:rsidP="00846E74">
            <w:pPr>
              <w:jc w:val="center"/>
              <w:rPr>
                <w:bCs/>
                <w:sz w:val="18"/>
                <w:szCs w:val="20"/>
              </w:rPr>
            </w:pPr>
            <w:r>
              <w:rPr>
                <w:bCs/>
                <w:sz w:val="18"/>
                <w:szCs w:val="20"/>
              </w:rPr>
              <w:t>10.5%</w:t>
            </w:r>
          </w:p>
        </w:tc>
        <w:tc>
          <w:tcPr>
            <w:tcW w:w="807" w:type="dxa"/>
            <w:vAlign w:val="center"/>
          </w:tcPr>
          <w:p w14:paraId="1891F240" w14:textId="43260AF8" w:rsidR="00846E74" w:rsidRPr="008819DE" w:rsidRDefault="00846E74" w:rsidP="00846E74">
            <w:pPr>
              <w:jc w:val="center"/>
              <w:rPr>
                <w:bCs/>
                <w:sz w:val="18"/>
                <w:szCs w:val="20"/>
              </w:rPr>
            </w:pPr>
            <w:r w:rsidRPr="008819DE">
              <w:rPr>
                <w:bCs/>
                <w:sz w:val="18"/>
                <w:szCs w:val="20"/>
              </w:rPr>
              <w:t>1.7%</w:t>
            </w:r>
          </w:p>
        </w:tc>
        <w:tc>
          <w:tcPr>
            <w:tcW w:w="664" w:type="dxa"/>
            <w:vAlign w:val="center"/>
          </w:tcPr>
          <w:p w14:paraId="32073507" w14:textId="6E784849" w:rsidR="00846E74" w:rsidRPr="008819DE" w:rsidRDefault="00846E74" w:rsidP="00846E74">
            <w:pPr>
              <w:jc w:val="center"/>
              <w:rPr>
                <w:bCs/>
                <w:sz w:val="18"/>
                <w:szCs w:val="20"/>
              </w:rPr>
            </w:pPr>
            <w:r>
              <w:rPr>
                <w:bCs/>
                <w:sz w:val="18"/>
                <w:szCs w:val="20"/>
              </w:rPr>
              <w:t>1.8%</w:t>
            </w:r>
          </w:p>
        </w:tc>
        <w:tc>
          <w:tcPr>
            <w:tcW w:w="877" w:type="dxa"/>
            <w:vAlign w:val="center"/>
          </w:tcPr>
          <w:p w14:paraId="10FDA27A" w14:textId="367790CA" w:rsidR="00846E74" w:rsidRPr="008819DE" w:rsidRDefault="00846E74" w:rsidP="00846E74">
            <w:pPr>
              <w:jc w:val="center"/>
              <w:rPr>
                <w:bCs/>
                <w:sz w:val="18"/>
                <w:szCs w:val="20"/>
              </w:rPr>
            </w:pPr>
            <w:r>
              <w:rPr>
                <w:bCs/>
                <w:sz w:val="18"/>
                <w:szCs w:val="20"/>
              </w:rPr>
              <w:t>4.1%</w:t>
            </w:r>
          </w:p>
        </w:tc>
        <w:tc>
          <w:tcPr>
            <w:tcW w:w="875" w:type="dxa"/>
            <w:vAlign w:val="center"/>
          </w:tcPr>
          <w:p w14:paraId="598A14B9" w14:textId="7CBA4533" w:rsidR="00846E74" w:rsidRPr="008819DE" w:rsidRDefault="00846E74" w:rsidP="00846E74">
            <w:pPr>
              <w:jc w:val="center"/>
              <w:rPr>
                <w:bCs/>
                <w:sz w:val="18"/>
                <w:szCs w:val="20"/>
              </w:rPr>
            </w:pPr>
            <w:r w:rsidRPr="008819DE">
              <w:rPr>
                <w:bCs/>
                <w:sz w:val="18"/>
                <w:szCs w:val="20"/>
              </w:rPr>
              <w:t>15.9%</w:t>
            </w:r>
          </w:p>
        </w:tc>
        <w:tc>
          <w:tcPr>
            <w:tcW w:w="693" w:type="dxa"/>
            <w:vAlign w:val="center"/>
          </w:tcPr>
          <w:p w14:paraId="2149EC7A" w14:textId="71F915C9" w:rsidR="00846E74" w:rsidRPr="008819DE" w:rsidRDefault="00846E74" w:rsidP="00846E74">
            <w:pPr>
              <w:jc w:val="center"/>
              <w:rPr>
                <w:bCs/>
                <w:sz w:val="18"/>
                <w:szCs w:val="20"/>
              </w:rPr>
            </w:pPr>
            <w:r>
              <w:rPr>
                <w:bCs/>
                <w:sz w:val="18"/>
                <w:szCs w:val="20"/>
              </w:rPr>
              <w:t>13.8%</w:t>
            </w:r>
          </w:p>
        </w:tc>
        <w:tc>
          <w:tcPr>
            <w:tcW w:w="764" w:type="dxa"/>
            <w:vAlign w:val="center"/>
          </w:tcPr>
          <w:p w14:paraId="2C01D40C" w14:textId="2D2382D3" w:rsidR="00846E74" w:rsidRPr="008819DE" w:rsidRDefault="00846E74" w:rsidP="00846E74">
            <w:pPr>
              <w:jc w:val="center"/>
              <w:rPr>
                <w:bCs/>
                <w:sz w:val="18"/>
                <w:szCs w:val="20"/>
              </w:rPr>
            </w:pPr>
            <w:r w:rsidRPr="008819DE">
              <w:rPr>
                <w:bCs/>
                <w:sz w:val="18"/>
                <w:szCs w:val="20"/>
              </w:rPr>
              <w:t>3.7%</w:t>
            </w:r>
          </w:p>
        </w:tc>
        <w:tc>
          <w:tcPr>
            <w:tcW w:w="664" w:type="dxa"/>
            <w:vAlign w:val="center"/>
          </w:tcPr>
          <w:p w14:paraId="5D308E06" w14:textId="4522DB31" w:rsidR="00846E74" w:rsidRPr="008819DE" w:rsidRDefault="00846E74" w:rsidP="00846E74">
            <w:pPr>
              <w:jc w:val="center"/>
              <w:rPr>
                <w:bCs/>
                <w:sz w:val="18"/>
                <w:szCs w:val="20"/>
              </w:rPr>
            </w:pPr>
            <w:r>
              <w:rPr>
                <w:bCs/>
                <w:sz w:val="18"/>
                <w:szCs w:val="20"/>
              </w:rPr>
              <w:t>6.4%</w:t>
            </w:r>
          </w:p>
        </w:tc>
        <w:tc>
          <w:tcPr>
            <w:tcW w:w="714" w:type="dxa"/>
            <w:vAlign w:val="center"/>
          </w:tcPr>
          <w:p w14:paraId="2AC568D4" w14:textId="321B1448" w:rsidR="00846E74" w:rsidRPr="008819DE" w:rsidRDefault="00846E74" w:rsidP="00846E74">
            <w:pPr>
              <w:jc w:val="center"/>
              <w:rPr>
                <w:bCs/>
                <w:sz w:val="18"/>
                <w:szCs w:val="20"/>
              </w:rPr>
            </w:pPr>
            <w:r w:rsidRPr="008819DE">
              <w:rPr>
                <w:bCs/>
                <w:sz w:val="18"/>
                <w:szCs w:val="20"/>
              </w:rPr>
              <w:t>73.3%</w:t>
            </w:r>
          </w:p>
        </w:tc>
        <w:tc>
          <w:tcPr>
            <w:tcW w:w="693" w:type="dxa"/>
            <w:vAlign w:val="center"/>
          </w:tcPr>
          <w:p w14:paraId="72534F06" w14:textId="6C89181A" w:rsidR="00846E74" w:rsidRPr="008819DE" w:rsidRDefault="00846E74" w:rsidP="00846E74">
            <w:pPr>
              <w:jc w:val="center"/>
              <w:rPr>
                <w:bCs/>
                <w:sz w:val="18"/>
                <w:szCs w:val="20"/>
              </w:rPr>
            </w:pPr>
            <w:r>
              <w:rPr>
                <w:bCs/>
                <w:sz w:val="18"/>
                <w:szCs w:val="20"/>
              </w:rPr>
              <w:t>76.7%</w:t>
            </w:r>
          </w:p>
        </w:tc>
      </w:tr>
      <w:tr w:rsidR="00846E74" w14:paraId="326838D6" w14:textId="77777777" w:rsidTr="001B65AC">
        <w:trPr>
          <w:trHeight w:val="346"/>
        </w:trPr>
        <w:tc>
          <w:tcPr>
            <w:tcW w:w="1277" w:type="dxa"/>
            <w:vAlign w:val="center"/>
          </w:tcPr>
          <w:p w14:paraId="352D7498" w14:textId="77777777" w:rsidR="00846E74" w:rsidRDefault="00846E74" w:rsidP="00846E74">
            <w:pPr>
              <w:jc w:val="right"/>
              <w:rPr>
                <w:bCs/>
                <w:sz w:val="20"/>
              </w:rPr>
            </w:pPr>
            <w:r>
              <w:rPr>
                <w:bCs/>
                <w:sz w:val="20"/>
              </w:rPr>
              <w:t>Black</w:t>
            </w:r>
          </w:p>
        </w:tc>
        <w:tc>
          <w:tcPr>
            <w:tcW w:w="758" w:type="dxa"/>
            <w:vAlign w:val="center"/>
          </w:tcPr>
          <w:p w14:paraId="2BDEB567" w14:textId="497C0E64" w:rsidR="00846E74" w:rsidRPr="008819DE" w:rsidRDefault="00846E74" w:rsidP="00846E74">
            <w:pPr>
              <w:jc w:val="center"/>
              <w:rPr>
                <w:bCs/>
                <w:sz w:val="18"/>
                <w:szCs w:val="20"/>
              </w:rPr>
            </w:pPr>
            <w:r w:rsidRPr="008819DE">
              <w:rPr>
                <w:bCs/>
                <w:sz w:val="18"/>
                <w:szCs w:val="20"/>
              </w:rPr>
              <w:t>46.4%</w:t>
            </w:r>
          </w:p>
        </w:tc>
        <w:tc>
          <w:tcPr>
            <w:tcW w:w="664" w:type="dxa"/>
            <w:vAlign w:val="center"/>
          </w:tcPr>
          <w:p w14:paraId="19E1E8A8" w14:textId="73C1B8B9" w:rsidR="00846E74" w:rsidRPr="008819DE" w:rsidRDefault="00846E74" w:rsidP="00846E74">
            <w:pPr>
              <w:jc w:val="center"/>
              <w:rPr>
                <w:bCs/>
                <w:sz w:val="18"/>
                <w:szCs w:val="20"/>
              </w:rPr>
            </w:pPr>
            <w:r>
              <w:rPr>
                <w:bCs/>
                <w:sz w:val="18"/>
                <w:szCs w:val="20"/>
              </w:rPr>
              <w:t>44.9%</w:t>
            </w:r>
          </w:p>
        </w:tc>
        <w:tc>
          <w:tcPr>
            <w:tcW w:w="807" w:type="dxa"/>
            <w:vAlign w:val="center"/>
          </w:tcPr>
          <w:p w14:paraId="0AA721A8" w14:textId="257FB479" w:rsidR="00846E74" w:rsidRPr="008819DE" w:rsidRDefault="00846E74" w:rsidP="00846E74">
            <w:pPr>
              <w:jc w:val="center"/>
              <w:rPr>
                <w:bCs/>
                <w:sz w:val="18"/>
                <w:szCs w:val="20"/>
              </w:rPr>
            </w:pPr>
            <w:r w:rsidRPr="008819DE">
              <w:rPr>
                <w:bCs/>
                <w:sz w:val="18"/>
                <w:szCs w:val="20"/>
              </w:rPr>
              <w:t>96.6%</w:t>
            </w:r>
          </w:p>
        </w:tc>
        <w:tc>
          <w:tcPr>
            <w:tcW w:w="664" w:type="dxa"/>
            <w:vAlign w:val="center"/>
          </w:tcPr>
          <w:p w14:paraId="48C2D0BB" w14:textId="177A15CD" w:rsidR="00846E74" w:rsidRPr="008819DE" w:rsidRDefault="00846E74" w:rsidP="00846E74">
            <w:pPr>
              <w:jc w:val="center"/>
              <w:rPr>
                <w:bCs/>
                <w:sz w:val="18"/>
                <w:szCs w:val="20"/>
              </w:rPr>
            </w:pPr>
            <w:r>
              <w:rPr>
                <w:bCs/>
                <w:sz w:val="18"/>
                <w:szCs w:val="20"/>
              </w:rPr>
              <w:t>94.5%</w:t>
            </w:r>
          </w:p>
        </w:tc>
        <w:tc>
          <w:tcPr>
            <w:tcW w:w="877" w:type="dxa"/>
            <w:vAlign w:val="center"/>
          </w:tcPr>
          <w:p w14:paraId="050DBD8B" w14:textId="23FA6003" w:rsidR="00846E74" w:rsidRPr="008819DE" w:rsidRDefault="00846E74" w:rsidP="00846E74">
            <w:pPr>
              <w:jc w:val="center"/>
              <w:rPr>
                <w:bCs/>
                <w:sz w:val="18"/>
                <w:szCs w:val="20"/>
              </w:rPr>
            </w:pPr>
            <w:r>
              <w:rPr>
                <w:bCs/>
                <w:sz w:val="18"/>
                <w:szCs w:val="20"/>
              </w:rPr>
              <w:t>76.7%</w:t>
            </w:r>
          </w:p>
        </w:tc>
        <w:tc>
          <w:tcPr>
            <w:tcW w:w="875" w:type="dxa"/>
            <w:vAlign w:val="center"/>
          </w:tcPr>
          <w:p w14:paraId="74CE7BF2" w14:textId="6D4ED9FD" w:rsidR="00846E74" w:rsidRPr="008819DE" w:rsidRDefault="00846E74" w:rsidP="00846E74">
            <w:pPr>
              <w:jc w:val="center"/>
              <w:rPr>
                <w:bCs/>
                <w:sz w:val="18"/>
                <w:szCs w:val="20"/>
              </w:rPr>
            </w:pPr>
            <w:r w:rsidRPr="008819DE">
              <w:rPr>
                <w:bCs/>
                <w:sz w:val="18"/>
                <w:szCs w:val="20"/>
              </w:rPr>
              <w:t>60.8%</w:t>
            </w:r>
          </w:p>
        </w:tc>
        <w:tc>
          <w:tcPr>
            <w:tcW w:w="693" w:type="dxa"/>
            <w:vAlign w:val="center"/>
          </w:tcPr>
          <w:p w14:paraId="3075EB8D" w14:textId="7BC5A2D9" w:rsidR="00846E74" w:rsidRPr="008819DE" w:rsidRDefault="00846E74" w:rsidP="00846E74">
            <w:pPr>
              <w:jc w:val="center"/>
              <w:rPr>
                <w:bCs/>
                <w:sz w:val="18"/>
                <w:szCs w:val="20"/>
              </w:rPr>
            </w:pPr>
            <w:r>
              <w:rPr>
                <w:bCs/>
                <w:sz w:val="18"/>
                <w:szCs w:val="20"/>
              </w:rPr>
              <w:t>63.7%</w:t>
            </w:r>
          </w:p>
        </w:tc>
        <w:tc>
          <w:tcPr>
            <w:tcW w:w="764" w:type="dxa"/>
            <w:vAlign w:val="center"/>
          </w:tcPr>
          <w:p w14:paraId="36DA44C8" w14:textId="465E9A84" w:rsidR="00846E74" w:rsidRPr="008819DE" w:rsidRDefault="00846E74" w:rsidP="00846E74">
            <w:pPr>
              <w:jc w:val="center"/>
              <w:rPr>
                <w:bCs/>
                <w:sz w:val="18"/>
                <w:szCs w:val="20"/>
              </w:rPr>
            </w:pPr>
            <w:r w:rsidRPr="008819DE">
              <w:rPr>
                <w:bCs/>
                <w:sz w:val="18"/>
                <w:szCs w:val="20"/>
              </w:rPr>
              <w:t>87.9%</w:t>
            </w:r>
          </w:p>
        </w:tc>
        <w:tc>
          <w:tcPr>
            <w:tcW w:w="664" w:type="dxa"/>
            <w:vAlign w:val="center"/>
          </w:tcPr>
          <w:p w14:paraId="6E8D8E36" w14:textId="653FAF7B" w:rsidR="00846E74" w:rsidRPr="008819DE" w:rsidRDefault="00846E74" w:rsidP="00846E74">
            <w:pPr>
              <w:jc w:val="center"/>
              <w:rPr>
                <w:bCs/>
                <w:sz w:val="18"/>
                <w:szCs w:val="20"/>
              </w:rPr>
            </w:pPr>
            <w:r>
              <w:rPr>
                <w:bCs/>
                <w:sz w:val="18"/>
                <w:szCs w:val="20"/>
              </w:rPr>
              <w:t>88.2%</w:t>
            </w:r>
          </w:p>
        </w:tc>
        <w:tc>
          <w:tcPr>
            <w:tcW w:w="714" w:type="dxa"/>
            <w:vAlign w:val="center"/>
          </w:tcPr>
          <w:p w14:paraId="47959A7D" w14:textId="53E5CFDE" w:rsidR="00846E74" w:rsidRPr="008819DE" w:rsidRDefault="00846E74" w:rsidP="00846E74">
            <w:pPr>
              <w:jc w:val="center"/>
              <w:rPr>
                <w:bCs/>
                <w:sz w:val="18"/>
                <w:szCs w:val="20"/>
              </w:rPr>
            </w:pPr>
            <w:r w:rsidRPr="008819DE">
              <w:rPr>
                <w:bCs/>
                <w:sz w:val="18"/>
                <w:szCs w:val="20"/>
              </w:rPr>
              <w:t>0.0%</w:t>
            </w:r>
          </w:p>
        </w:tc>
        <w:tc>
          <w:tcPr>
            <w:tcW w:w="693" w:type="dxa"/>
            <w:vAlign w:val="center"/>
          </w:tcPr>
          <w:p w14:paraId="51548467" w14:textId="626E8957" w:rsidR="00846E74" w:rsidRPr="008819DE" w:rsidRDefault="00846E74" w:rsidP="00846E74">
            <w:pPr>
              <w:jc w:val="center"/>
              <w:rPr>
                <w:bCs/>
                <w:sz w:val="18"/>
                <w:szCs w:val="20"/>
              </w:rPr>
            </w:pPr>
            <w:r>
              <w:rPr>
                <w:bCs/>
                <w:sz w:val="18"/>
                <w:szCs w:val="20"/>
              </w:rPr>
              <w:t>0.0%</w:t>
            </w:r>
          </w:p>
        </w:tc>
      </w:tr>
      <w:tr w:rsidR="00846E74" w14:paraId="6A4E8C0C" w14:textId="77777777" w:rsidTr="001B65AC">
        <w:trPr>
          <w:trHeight w:val="346"/>
        </w:trPr>
        <w:tc>
          <w:tcPr>
            <w:tcW w:w="1277" w:type="dxa"/>
            <w:vAlign w:val="center"/>
          </w:tcPr>
          <w:p w14:paraId="63594647" w14:textId="77777777" w:rsidR="00846E74" w:rsidRDefault="00846E74" w:rsidP="00846E74">
            <w:pPr>
              <w:jc w:val="right"/>
              <w:rPr>
                <w:bCs/>
                <w:sz w:val="20"/>
              </w:rPr>
            </w:pPr>
            <w:r>
              <w:rPr>
                <w:bCs/>
                <w:sz w:val="20"/>
              </w:rPr>
              <w:t>Multiracial</w:t>
            </w:r>
          </w:p>
        </w:tc>
        <w:tc>
          <w:tcPr>
            <w:tcW w:w="758" w:type="dxa"/>
            <w:vAlign w:val="center"/>
          </w:tcPr>
          <w:p w14:paraId="72E9F824" w14:textId="37410040" w:rsidR="00846E74" w:rsidRPr="008819DE" w:rsidRDefault="00846E74" w:rsidP="00846E74">
            <w:pPr>
              <w:jc w:val="center"/>
              <w:rPr>
                <w:bCs/>
                <w:sz w:val="18"/>
                <w:szCs w:val="20"/>
              </w:rPr>
            </w:pPr>
            <w:r w:rsidRPr="008819DE">
              <w:rPr>
                <w:bCs/>
                <w:sz w:val="18"/>
                <w:szCs w:val="20"/>
              </w:rPr>
              <w:t>5.0%</w:t>
            </w:r>
          </w:p>
        </w:tc>
        <w:tc>
          <w:tcPr>
            <w:tcW w:w="664" w:type="dxa"/>
            <w:vAlign w:val="center"/>
          </w:tcPr>
          <w:p w14:paraId="14E181EE" w14:textId="69D87E73" w:rsidR="00846E74" w:rsidRPr="008819DE" w:rsidRDefault="00846E74" w:rsidP="00846E74">
            <w:pPr>
              <w:jc w:val="center"/>
              <w:rPr>
                <w:bCs/>
                <w:sz w:val="18"/>
                <w:szCs w:val="20"/>
              </w:rPr>
            </w:pPr>
            <w:r>
              <w:rPr>
                <w:bCs/>
                <w:sz w:val="18"/>
                <w:szCs w:val="20"/>
              </w:rPr>
              <w:t>5.1%</w:t>
            </w:r>
          </w:p>
        </w:tc>
        <w:tc>
          <w:tcPr>
            <w:tcW w:w="807" w:type="dxa"/>
            <w:vAlign w:val="center"/>
          </w:tcPr>
          <w:p w14:paraId="2A423CE3" w14:textId="2F3B3A68" w:rsidR="00846E74" w:rsidRPr="008819DE" w:rsidRDefault="00846E74" w:rsidP="00846E74">
            <w:pPr>
              <w:jc w:val="center"/>
              <w:rPr>
                <w:bCs/>
                <w:sz w:val="18"/>
                <w:szCs w:val="20"/>
              </w:rPr>
            </w:pPr>
            <w:r w:rsidRPr="008819DE">
              <w:rPr>
                <w:bCs/>
                <w:sz w:val="18"/>
                <w:szCs w:val="20"/>
              </w:rPr>
              <w:t>0.9%</w:t>
            </w:r>
          </w:p>
        </w:tc>
        <w:tc>
          <w:tcPr>
            <w:tcW w:w="664" w:type="dxa"/>
            <w:vAlign w:val="center"/>
          </w:tcPr>
          <w:p w14:paraId="4A26977F" w14:textId="41A327EC" w:rsidR="00846E74" w:rsidRPr="008819DE" w:rsidRDefault="00846E74" w:rsidP="00846E74">
            <w:pPr>
              <w:jc w:val="center"/>
              <w:rPr>
                <w:bCs/>
                <w:sz w:val="18"/>
                <w:szCs w:val="20"/>
              </w:rPr>
            </w:pPr>
            <w:r>
              <w:rPr>
                <w:bCs/>
                <w:sz w:val="18"/>
                <w:szCs w:val="20"/>
              </w:rPr>
              <w:t>1.8%</w:t>
            </w:r>
          </w:p>
        </w:tc>
        <w:tc>
          <w:tcPr>
            <w:tcW w:w="877" w:type="dxa"/>
            <w:vAlign w:val="center"/>
          </w:tcPr>
          <w:p w14:paraId="0F9A13AF" w14:textId="574229A2" w:rsidR="00846E74" w:rsidRPr="008819DE" w:rsidRDefault="00846E74" w:rsidP="00846E74">
            <w:pPr>
              <w:jc w:val="center"/>
              <w:rPr>
                <w:bCs/>
                <w:sz w:val="18"/>
                <w:szCs w:val="20"/>
              </w:rPr>
            </w:pPr>
            <w:r>
              <w:rPr>
                <w:bCs/>
                <w:sz w:val="18"/>
                <w:szCs w:val="20"/>
              </w:rPr>
              <w:t>6.9%</w:t>
            </w:r>
          </w:p>
        </w:tc>
        <w:tc>
          <w:tcPr>
            <w:tcW w:w="875" w:type="dxa"/>
            <w:vAlign w:val="center"/>
          </w:tcPr>
          <w:p w14:paraId="458EC478" w14:textId="7B2D3012" w:rsidR="00846E74" w:rsidRPr="008819DE" w:rsidRDefault="00846E74" w:rsidP="00846E74">
            <w:pPr>
              <w:jc w:val="center"/>
              <w:rPr>
                <w:bCs/>
                <w:sz w:val="18"/>
                <w:szCs w:val="20"/>
              </w:rPr>
            </w:pPr>
            <w:r w:rsidRPr="008819DE">
              <w:rPr>
                <w:bCs/>
                <w:sz w:val="18"/>
                <w:szCs w:val="20"/>
              </w:rPr>
              <w:t>12.3%</w:t>
            </w:r>
          </w:p>
        </w:tc>
        <w:tc>
          <w:tcPr>
            <w:tcW w:w="693" w:type="dxa"/>
            <w:vAlign w:val="center"/>
          </w:tcPr>
          <w:p w14:paraId="11140790" w14:textId="68054F26" w:rsidR="00846E74" w:rsidRPr="008819DE" w:rsidRDefault="00846E74" w:rsidP="00846E74">
            <w:pPr>
              <w:jc w:val="center"/>
              <w:rPr>
                <w:bCs/>
                <w:sz w:val="18"/>
                <w:szCs w:val="20"/>
              </w:rPr>
            </w:pPr>
            <w:r>
              <w:rPr>
                <w:bCs/>
                <w:sz w:val="18"/>
                <w:szCs w:val="20"/>
              </w:rPr>
              <w:t>10.8%</w:t>
            </w:r>
          </w:p>
        </w:tc>
        <w:tc>
          <w:tcPr>
            <w:tcW w:w="764" w:type="dxa"/>
            <w:vAlign w:val="center"/>
          </w:tcPr>
          <w:p w14:paraId="4872DC3B" w14:textId="365A86D5" w:rsidR="00846E74" w:rsidRPr="008819DE" w:rsidRDefault="00846E74" w:rsidP="00846E74">
            <w:pPr>
              <w:jc w:val="center"/>
              <w:rPr>
                <w:bCs/>
                <w:sz w:val="18"/>
                <w:szCs w:val="20"/>
              </w:rPr>
            </w:pPr>
            <w:r w:rsidRPr="008819DE">
              <w:rPr>
                <w:bCs/>
                <w:sz w:val="18"/>
                <w:szCs w:val="20"/>
              </w:rPr>
              <w:t>3.2%</w:t>
            </w:r>
          </w:p>
        </w:tc>
        <w:tc>
          <w:tcPr>
            <w:tcW w:w="664" w:type="dxa"/>
            <w:vAlign w:val="center"/>
          </w:tcPr>
          <w:p w14:paraId="797790C2" w14:textId="573BE2DD" w:rsidR="00846E74" w:rsidRPr="008819DE" w:rsidRDefault="00846E74" w:rsidP="00846E74">
            <w:pPr>
              <w:jc w:val="center"/>
              <w:rPr>
                <w:bCs/>
                <w:sz w:val="18"/>
                <w:szCs w:val="20"/>
              </w:rPr>
            </w:pPr>
            <w:r>
              <w:rPr>
                <w:bCs/>
                <w:sz w:val="18"/>
                <w:szCs w:val="20"/>
              </w:rPr>
              <w:t>1.5%</w:t>
            </w:r>
          </w:p>
        </w:tc>
        <w:tc>
          <w:tcPr>
            <w:tcW w:w="714" w:type="dxa"/>
            <w:vAlign w:val="center"/>
          </w:tcPr>
          <w:p w14:paraId="7AF94DB2" w14:textId="32645CF4" w:rsidR="00846E74" w:rsidRPr="008819DE" w:rsidRDefault="00846E74" w:rsidP="00846E74">
            <w:pPr>
              <w:jc w:val="center"/>
              <w:rPr>
                <w:bCs/>
                <w:sz w:val="18"/>
                <w:szCs w:val="20"/>
              </w:rPr>
            </w:pPr>
            <w:r w:rsidRPr="008819DE">
              <w:rPr>
                <w:bCs/>
                <w:sz w:val="18"/>
                <w:szCs w:val="20"/>
              </w:rPr>
              <w:t>15.0%</w:t>
            </w:r>
          </w:p>
        </w:tc>
        <w:tc>
          <w:tcPr>
            <w:tcW w:w="693" w:type="dxa"/>
            <w:vAlign w:val="center"/>
          </w:tcPr>
          <w:p w14:paraId="4926A32B" w14:textId="4597BE06" w:rsidR="00846E74" w:rsidRPr="008819DE" w:rsidRDefault="00846E74" w:rsidP="00846E74">
            <w:pPr>
              <w:jc w:val="center"/>
              <w:rPr>
                <w:bCs/>
                <w:sz w:val="18"/>
                <w:szCs w:val="20"/>
              </w:rPr>
            </w:pPr>
            <w:r>
              <w:rPr>
                <w:bCs/>
                <w:sz w:val="18"/>
                <w:szCs w:val="20"/>
              </w:rPr>
              <w:t>11.6%</w:t>
            </w:r>
          </w:p>
        </w:tc>
      </w:tr>
      <w:tr w:rsidR="00846E74" w14:paraId="14FE1646" w14:textId="77777777" w:rsidTr="001B65AC">
        <w:trPr>
          <w:trHeight w:val="346"/>
        </w:trPr>
        <w:tc>
          <w:tcPr>
            <w:tcW w:w="1277" w:type="dxa"/>
            <w:vAlign w:val="center"/>
          </w:tcPr>
          <w:p w14:paraId="625FA9FC" w14:textId="77777777" w:rsidR="00846E74" w:rsidRDefault="00846E74" w:rsidP="00846E74">
            <w:pPr>
              <w:jc w:val="right"/>
              <w:rPr>
                <w:bCs/>
                <w:sz w:val="20"/>
              </w:rPr>
            </w:pPr>
            <w:r>
              <w:rPr>
                <w:bCs/>
                <w:sz w:val="20"/>
              </w:rPr>
              <w:t>Hispanic</w:t>
            </w:r>
          </w:p>
        </w:tc>
        <w:tc>
          <w:tcPr>
            <w:tcW w:w="758" w:type="dxa"/>
            <w:vAlign w:val="center"/>
          </w:tcPr>
          <w:p w14:paraId="0B090B88" w14:textId="53B35CA2" w:rsidR="00846E74" w:rsidRPr="008819DE" w:rsidRDefault="00846E74" w:rsidP="00846E74">
            <w:pPr>
              <w:jc w:val="center"/>
              <w:rPr>
                <w:bCs/>
                <w:sz w:val="18"/>
                <w:szCs w:val="20"/>
              </w:rPr>
            </w:pPr>
            <w:r w:rsidRPr="008819DE">
              <w:rPr>
                <w:bCs/>
                <w:sz w:val="18"/>
                <w:szCs w:val="20"/>
              </w:rPr>
              <w:t>40.0%</w:t>
            </w:r>
          </w:p>
        </w:tc>
        <w:tc>
          <w:tcPr>
            <w:tcW w:w="664" w:type="dxa"/>
            <w:vAlign w:val="center"/>
          </w:tcPr>
          <w:p w14:paraId="750C11DB" w14:textId="3177FBB0" w:rsidR="00846E74" w:rsidRPr="008819DE" w:rsidRDefault="00846E74" w:rsidP="00846E74">
            <w:pPr>
              <w:jc w:val="center"/>
              <w:rPr>
                <w:bCs/>
                <w:sz w:val="18"/>
                <w:szCs w:val="20"/>
              </w:rPr>
            </w:pPr>
            <w:r>
              <w:rPr>
                <w:bCs/>
                <w:sz w:val="18"/>
                <w:szCs w:val="20"/>
              </w:rPr>
              <w:t>38.0%</w:t>
            </w:r>
          </w:p>
        </w:tc>
        <w:tc>
          <w:tcPr>
            <w:tcW w:w="807" w:type="dxa"/>
            <w:vAlign w:val="center"/>
          </w:tcPr>
          <w:p w14:paraId="6B15FA43" w14:textId="0E3C8751" w:rsidR="00846E74" w:rsidRPr="008819DE" w:rsidRDefault="00846E74" w:rsidP="00846E74">
            <w:pPr>
              <w:jc w:val="center"/>
              <w:rPr>
                <w:bCs/>
                <w:sz w:val="18"/>
                <w:szCs w:val="20"/>
              </w:rPr>
            </w:pPr>
            <w:r w:rsidRPr="008819DE">
              <w:rPr>
                <w:bCs/>
                <w:sz w:val="18"/>
                <w:szCs w:val="20"/>
              </w:rPr>
              <w:t>0.9%</w:t>
            </w:r>
          </w:p>
        </w:tc>
        <w:tc>
          <w:tcPr>
            <w:tcW w:w="664" w:type="dxa"/>
            <w:vAlign w:val="center"/>
          </w:tcPr>
          <w:p w14:paraId="452ED859" w14:textId="2B3F6965" w:rsidR="00846E74" w:rsidRPr="008819DE" w:rsidRDefault="00846E74" w:rsidP="00846E74">
            <w:pPr>
              <w:jc w:val="center"/>
              <w:rPr>
                <w:bCs/>
                <w:sz w:val="18"/>
                <w:szCs w:val="20"/>
              </w:rPr>
            </w:pPr>
            <w:r>
              <w:rPr>
                <w:bCs/>
                <w:sz w:val="18"/>
                <w:szCs w:val="20"/>
              </w:rPr>
              <w:t>0.9%</w:t>
            </w:r>
          </w:p>
        </w:tc>
        <w:tc>
          <w:tcPr>
            <w:tcW w:w="877" w:type="dxa"/>
            <w:vAlign w:val="center"/>
          </w:tcPr>
          <w:p w14:paraId="6DFEB5C5" w14:textId="2043FDD3" w:rsidR="00846E74" w:rsidRPr="008819DE" w:rsidRDefault="00846E74" w:rsidP="00846E74">
            <w:pPr>
              <w:jc w:val="center"/>
              <w:rPr>
                <w:bCs/>
                <w:sz w:val="18"/>
                <w:szCs w:val="20"/>
              </w:rPr>
            </w:pPr>
            <w:r>
              <w:rPr>
                <w:bCs/>
                <w:sz w:val="18"/>
                <w:szCs w:val="20"/>
              </w:rPr>
              <w:t>11.0%</w:t>
            </w:r>
          </w:p>
        </w:tc>
        <w:tc>
          <w:tcPr>
            <w:tcW w:w="875" w:type="dxa"/>
            <w:vAlign w:val="center"/>
          </w:tcPr>
          <w:p w14:paraId="312E997D" w14:textId="24F1DED7" w:rsidR="00846E74" w:rsidRPr="008819DE" w:rsidRDefault="00846E74" w:rsidP="00846E74">
            <w:pPr>
              <w:jc w:val="center"/>
              <w:rPr>
                <w:bCs/>
                <w:sz w:val="18"/>
                <w:szCs w:val="20"/>
              </w:rPr>
            </w:pPr>
            <w:r w:rsidRPr="008819DE">
              <w:rPr>
                <w:bCs/>
                <w:sz w:val="18"/>
                <w:szCs w:val="20"/>
              </w:rPr>
              <w:t>10.8%</w:t>
            </w:r>
          </w:p>
        </w:tc>
        <w:tc>
          <w:tcPr>
            <w:tcW w:w="693" w:type="dxa"/>
            <w:vAlign w:val="center"/>
          </w:tcPr>
          <w:p w14:paraId="63C30B01" w14:textId="2EBA496F" w:rsidR="00846E74" w:rsidRPr="008819DE" w:rsidRDefault="00846E74" w:rsidP="00846E74">
            <w:pPr>
              <w:jc w:val="center"/>
              <w:rPr>
                <w:bCs/>
                <w:sz w:val="18"/>
                <w:szCs w:val="20"/>
              </w:rPr>
            </w:pPr>
            <w:r>
              <w:rPr>
                <w:bCs/>
                <w:sz w:val="18"/>
                <w:szCs w:val="20"/>
              </w:rPr>
              <w:t>11.7%</w:t>
            </w:r>
          </w:p>
        </w:tc>
        <w:tc>
          <w:tcPr>
            <w:tcW w:w="764" w:type="dxa"/>
            <w:vAlign w:val="center"/>
          </w:tcPr>
          <w:p w14:paraId="4C8A00DA" w14:textId="49F35ACB" w:rsidR="00846E74" w:rsidRPr="008819DE" w:rsidRDefault="00846E74" w:rsidP="00846E74">
            <w:pPr>
              <w:jc w:val="center"/>
              <w:rPr>
                <w:bCs/>
                <w:sz w:val="18"/>
                <w:szCs w:val="20"/>
              </w:rPr>
            </w:pPr>
            <w:r w:rsidRPr="008819DE">
              <w:rPr>
                <w:bCs/>
                <w:sz w:val="18"/>
                <w:szCs w:val="20"/>
              </w:rPr>
              <w:t>5.1%</w:t>
            </w:r>
          </w:p>
        </w:tc>
        <w:tc>
          <w:tcPr>
            <w:tcW w:w="664" w:type="dxa"/>
            <w:vAlign w:val="center"/>
          </w:tcPr>
          <w:p w14:paraId="654F7CB7" w14:textId="2F7B28AE" w:rsidR="00846E74" w:rsidRPr="008819DE" w:rsidRDefault="00846E74" w:rsidP="00846E74">
            <w:pPr>
              <w:jc w:val="center"/>
              <w:rPr>
                <w:bCs/>
                <w:sz w:val="18"/>
                <w:szCs w:val="20"/>
              </w:rPr>
            </w:pPr>
            <w:r>
              <w:rPr>
                <w:bCs/>
                <w:sz w:val="18"/>
                <w:szCs w:val="20"/>
              </w:rPr>
              <w:t>3.9%</w:t>
            </w:r>
          </w:p>
        </w:tc>
        <w:tc>
          <w:tcPr>
            <w:tcW w:w="714" w:type="dxa"/>
            <w:vAlign w:val="center"/>
          </w:tcPr>
          <w:p w14:paraId="35706A4C" w14:textId="4F4EC64B" w:rsidR="00846E74" w:rsidRPr="008819DE" w:rsidRDefault="00846E74" w:rsidP="00846E74">
            <w:pPr>
              <w:jc w:val="center"/>
              <w:rPr>
                <w:bCs/>
                <w:sz w:val="18"/>
                <w:szCs w:val="20"/>
              </w:rPr>
            </w:pPr>
            <w:r w:rsidRPr="008819DE">
              <w:rPr>
                <w:bCs/>
                <w:sz w:val="18"/>
                <w:szCs w:val="20"/>
              </w:rPr>
              <w:t>6.7%</w:t>
            </w:r>
          </w:p>
        </w:tc>
        <w:tc>
          <w:tcPr>
            <w:tcW w:w="693" w:type="dxa"/>
            <w:vAlign w:val="center"/>
          </w:tcPr>
          <w:p w14:paraId="34AABC14" w14:textId="6961C9D6" w:rsidR="00846E74" w:rsidRPr="008819DE" w:rsidRDefault="00846E74" w:rsidP="00846E74">
            <w:pPr>
              <w:jc w:val="center"/>
              <w:rPr>
                <w:bCs/>
                <w:sz w:val="18"/>
                <w:szCs w:val="20"/>
              </w:rPr>
            </w:pPr>
            <w:r>
              <w:rPr>
                <w:bCs/>
                <w:sz w:val="18"/>
                <w:szCs w:val="20"/>
              </w:rPr>
              <w:t>4.7%</w:t>
            </w:r>
          </w:p>
        </w:tc>
      </w:tr>
      <w:tr w:rsidR="00846E74" w14:paraId="3BE48E7B" w14:textId="77777777" w:rsidTr="001B65AC">
        <w:trPr>
          <w:trHeight w:val="346"/>
        </w:trPr>
        <w:tc>
          <w:tcPr>
            <w:tcW w:w="1277" w:type="dxa"/>
            <w:vAlign w:val="center"/>
          </w:tcPr>
          <w:p w14:paraId="72A92816" w14:textId="77777777" w:rsidR="00846E74" w:rsidRDefault="00846E74" w:rsidP="00846E74">
            <w:pPr>
              <w:jc w:val="right"/>
              <w:rPr>
                <w:bCs/>
                <w:sz w:val="20"/>
              </w:rPr>
            </w:pPr>
            <w:r>
              <w:rPr>
                <w:bCs/>
                <w:sz w:val="20"/>
              </w:rPr>
              <w:t>Asian</w:t>
            </w:r>
          </w:p>
        </w:tc>
        <w:tc>
          <w:tcPr>
            <w:tcW w:w="758" w:type="dxa"/>
            <w:vAlign w:val="center"/>
          </w:tcPr>
          <w:p w14:paraId="5E73B7B8" w14:textId="22F59456" w:rsidR="00846E74" w:rsidRPr="008819DE" w:rsidRDefault="00846E74" w:rsidP="00846E74">
            <w:pPr>
              <w:jc w:val="center"/>
              <w:rPr>
                <w:bCs/>
                <w:sz w:val="18"/>
                <w:szCs w:val="20"/>
              </w:rPr>
            </w:pPr>
            <w:r w:rsidRPr="008819DE">
              <w:rPr>
                <w:bCs/>
                <w:sz w:val="18"/>
                <w:szCs w:val="20"/>
              </w:rPr>
              <w:t>0.4%</w:t>
            </w:r>
          </w:p>
        </w:tc>
        <w:tc>
          <w:tcPr>
            <w:tcW w:w="664" w:type="dxa"/>
            <w:vAlign w:val="center"/>
          </w:tcPr>
          <w:p w14:paraId="185C050F" w14:textId="62FF56B8" w:rsidR="00846E74" w:rsidRPr="008819DE" w:rsidRDefault="00846E74" w:rsidP="00846E74">
            <w:pPr>
              <w:jc w:val="center"/>
              <w:rPr>
                <w:bCs/>
                <w:sz w:val="18"/>
                <w:szCs w:val="20"/>
              </w:rPr>
            </w:pPr>
            <w:r>
              <w:rPr>
                <w:bCs/>
                <w:sz w:val="18"/>
                <w:szCs w:val="20"/>
              </w:rPr>
              <w:t>0.4%</w:t>
            </w:r>
          </w:p>
        </w:tc>
        <w:tc>
          <w:tcPr>
            <w:tcW w:w="807" w:type="dxa"/>
            <w:vAlign w:val="center"/>
          </w:tcPr>
          <w:p w14:paraId="1D3AC38E" w14:textId="431FF89B" w:rsidR="00846E74" w:rsidRPr="008819DE" w:rsidRDefault="00846E74" w:rsidP="00846E74">
            <w:pPr>
              <w:jc w:val="center"/>
              <w:rPr>
                <w:bCs/>
                <w:sz w:val="18"/>
                <w:szCs w:val="20"/>
              </w:rPr>
            </w:pPr>
            <w:r w:rsidRPr="008819DE">
              <w:rPr>
                <w:bCs/>
                <w:sz w:val="18"/>
                <w:szCs w:val="20"/>
              </w:rPr>
              <w:t>0.0%</w:t>
            </w:r>
          </w:p>
        </w:tc>
        <w:tc>
          <w:tcPr>
            <w:tcW w:w="664" w:type="dxa"/>
            <w:vAlign w:val="center"/>
          </w:tcPr>
          <w:p w14:paraId="726CCD6A" w14:textId="3ABB074E" w:rsidR="00846E74" w:rsidRPr="008819DE" w:rsidRDefault="00846E74" w:rsidP="00846E74">
            <w:pPr>
              <w:jc w:val="center"/>
              <w:rPr>
                <w:bCs/>
                <w:sz w:val="18"/>
                <w:szCs w:val="20"/>
              </w:rPr>
            </w:pPr>
            <w:r>
              <w:rPr>
                <w:bCs/>
                <w:sz w:val="18"/>
                <w:szCs w:val="20"/>
              </w:rPr>
              <w:t>0.0%</w:t>
            </w:r>
          </w:p>
        </w:tc>
        <w:tc>
          <w:tcPr>
            <w:tcW w:w="877" w:type="dxa"/>
            <w:vAlign w:val="center"/>
          </w:tcPr>
          <w:p w14:paraId="3A34A521" w14:textId="6B6D568D" w:rsidR="00846E74" w:rsidRPr="008819DE" w:rsidRDefault="00846E74" w:rsidP="00846E74">
            <w:pPr>
              <w:jc w:val="center"/>
              <w:rPr>
                <w:bCs/>
                <w:sz w:val="18"/>
                <w:szCs w:val="20"/>
              </w:rPr>
            </w:pPr>
            <w:r>
              <w:rPr>
                <w:bCs/>
                <w:sz w:val="18"/>
                <w:szCs w:val="20"/>
              </w:rPr>
              <w:t>1.4%</w:t>
            </w:r>
          </w:p>
        </w:tc>
        <w:tc>
          <w:tcPr>
            <w:tcW w:w="875" w:type="dxa"/>
            <w:vAlign w:val="center"/>
          </w:tcPr>
          <w:p w14:paraId="53114980" w14:textId="5F903456" w:rsidR="00846E74" w:rsidRPr="008819DE" w:rsidRDefault="00846E74" w:rsidP="00846E74">
            <w:pPr>
              <w:jc w:val="center"/>
              <w:rPr>
                <w:bCs/>
                <w:sz w:val="18"/>
                <w:szCs w:val="20"/>
              </w:rPr>
            </w:pPr>
            <w:r w:rsidRPr="008819DE">
              <w:rPr>
                <w:bCs/>
                <w:sz w:val="18"/>
                <w:szCs w:val="20"/>
              </w:rPr>
              <w:t>0.0%</w:t>
            </w:r>
          </w:p>
        </w:tc>
        <w:tc>
          <w:tcPr>
            <w:tcW w:w="693" w:type="dxa"/>
            <w:vAlign w:val="center"/>
          </w:tcPr>
          <w:p w14:paraId="593DA637" w14:textId="3B9FFEFE" w:rsidR="00846E74" w:rsidRPr="008819DE" w:rsidRDefault="00846E74" w:rsidP="00846E74">
            <w:pPr>
              <w:jc w:val="center"/>
              <w:rPr>
                <w:bCs/>
                <w:sz w:val="18"/>
                <w:szCs w:val="20"/>
              </w:rPr>
            </w:pPr>
            <w:r>
              <w:rPr>
                <w:bCs/>
                <w:sz w:val="18"/>
                <w:szCs w:val="20"/>
              </w:rPr>
              <w:t>0.0%</w:t>
            </w:r>
          </w:p>
        </w:tc>
        <w:tc>
          <w:tcPr>
            <w:tcW w:w="764" w:type="dxa"/>
            <w:vAlign w:val="center"/>
          </w:tcPr>
          <w:p w14:paraId="2D1E6958" w14:textId="17EEE72E" w:rsidR="00846E74" w:rsidRPr="008819DE" w:rsidRDefault="00846E74" w:rsidP="00846E74">
            <w:pPr>
              <w:jc w:val="center"/>
              <w:rPr>
                <w:bCs/>
                <w:sz w:val="18"/>
                <w:szCs w:val="20"/>
              </w:rPr>
            </w:pPr>
            <w:r w:rsidRPr="008819DE">
              <w:rPr>
                <w:bCs/>
                <w:sz w:val="18"/>
                <w:szCs w:val="20"/>
              </w:rPr>
              <w:t>0.0%</w:t>
            </w:r>
          </w:p>
        </w:tc>
        <w:tc>
          <w:tcPr>
            <w:tcW w:w="664" w:type="dxa"/>
            <w:vAlign w:val="center"/>
          </w:tcPr>
          <w:p w14:paraId="02BC14E3" w14:textId="22D4605F" w:rsidR="00846E74" w:rsidRPr="008819DE" w:rsidRDefault="00846E74" w:rsidP="00846E74">
            <w:pPr>
              <w:jc w:val="center"/>
              <w:rPr>
                <w:bCs/>
                <w:sz w:val="18"/>
                <w:szCs w:val="20"/>
              </w:rPr>
            </w:pPr>
            <w:r>
              <w:rPr>
                <w:bCs/>
                <w:sz w:val="18"/>
                <w:szCs w:val="20"/>
              </w:rPr>
              <w:t>0.0%</w:t>
            </w:r>
          </w:p>
        </w:tc>
        <w:tc>
          <w:tcPr>
            <w:tcW w:w="714" w:type="dxa"/>
            <w:vAlign w:val="center"/>
          </w:tcPr>
          <w:p w14:paraId="0479F99F" w14:textId="1C1A1A4B" w:rsidR="00846E74" w:rsidRPr="008819DE" w:rsidRDefault="00846E74" w:rsidP="00846E74">
            <w:pPr>
              <w:jc w:val="center"/>
              <w:rPr>
                <w:bCs/>
                <w:sz w:val="18"/>
                <w:szCs w:val="20"/>
              </w:rPr>
            </w:pPr>
            <w:r w:rsidRPr="008819DE">
              <w:rPr>
                <w:bCs/>
                <w:sz w:val="18"/>
                <w:szCs w:val="20"/>
              </w:rPr>
              <w:t>1.7%</w:t>
            </w:r>
          </w:p>
        </w:tc>
        <w:tc>
          <w:tcPr>
            <w:tcW w:w="693" w:type="dxa"/>
            <w:vAlign w:val="center"/>
          </w:tcPr>
          <w:p w14:paraId="566A023C" w14:textId="678918E4" w:rsidR="00846E74" w:rsidRPr="008819DE" w:rsidRDefault="00846E74" w:rsidP="00846E74">
            <w:pPr>
              <w:jc w:val="center"/>
              <w:rPr>
                <w:bCs/>
                <w:sz w:val="18"/>
                <w:szCs w:val="20"/>
              </w:rPr>
            </w:pPr>
            <w:r>
              <w:rPr>
                <w:bCs/>
                <w:sz w:val="18"/>
                <w:szCs w:val="20"/>
              </w:rPr>
              <w:t>2.3%</w:t>
            </w:r>
          </w:p>
        </w:tc>
      </w:tr>
      <w:tr w:rsidR="00846E74" w14:paraId="5165060A" w14:textId="77777777" w:rsidTr="001B65AC">
        <w:trPr>
          <w:trHeight w:val="346"/>
        </w:trPr>
        <w:tc>
          <w:tcPr>
            <w:tcW w:w="1277" w:type="dxa"/>
            <w:vAlign w:val="center"/>
          </w:tcPr>
          <w:p w14:paraId="4A3AD54E" w14:textId="77777777" w:rsidR="00846E74" w:rsidRDefault="00846E74" w:rsidP="00846E74">
            <w:pPr>
              <w:jc w:val="right"/>
              <w:rPr>
                <w:bCs/>
                <w:sz w:val="20"/>
              </w:rPr>
            </w:pPr>
            <w:r>
              <w:rPr>
                <w:bCs/>
                <w:sz w:val="20"/>
              </w:rPr>
              <w:t>American Indian</w:t>
            </w:r>
          </w:p>
        </w:tc>
        <w:tc>
          <w:tcPr>
            <w:tcW w:w="758" w:type="dxa"/>
            <w:vAlign w:val="center"/>
          </w:tcPr>
          <w:p w14:paraId="4E15FC42" w14:textId="424866C8" w:rsidR="00846E74" w:rsidRPr="008819DE" w:rsidRDefault="00846E74" w:rsidP="00846E74">
            <w:pPr>
              <w:jc w:val="center"/>
              <w:rPr>
                <w:bCs/>
                <w:sz w:val="18"/>
                <w:szCs w:val="20"/>
              </w:rPr>
            </w:pPr>
            <w:r w:rsidRPr="008819DE">
              <w:rPr>
                <w:bCs/>
                <w:sz w:val="18"/>
                <w:szCs w:val="20"/>
              </w:rPr>
              <w:t>0.4%</w:t>
            </w:r>
          </w:p>
        </w:tc>
        <w:tc>
          <w:tcPr>
            <w:tcW w:w="664" w:type="dxa"/>
            <w:vAlign w:val="center"/>
          </w:tcPr>
          <w:p w14:paraId="3C7B5189" w14:textId="78AEAB21" w:rsidR="00846E74" w:rsidRPr="008819DE" w:rsidRDefault="00846E74" w:rsidP="00846E74">
            <w:pPr>
              <w:jc w:val="center"/>
              <w:rPr>
                <w:bCs/>
                <w:sz w:val="18"/>
                <w:szCs w:val="20"/>
              </w:rPr>
            </w:pPr>
            <w:r>
              <w:rPr>
                <w:bCs/>
                <w:sz w:val="18"/>
                <w:szCs w:val="20"/>
              </w:rPr>
              <w:t>0.4%</w:t>
            </w:r>
          </w:p>
        </w:tc>
        <w:tc>
          <w:tcPr>
            <w:tcW w:w="807" w:type="dxa"/>
            <w:vAlign w:val="center"/>
          </w:tcPr>
          <w:p w14:paraId="61F3BB46" w14:textId="3C912568" w:rsidR="00846E74" w:rsidRPr="008819DE" w:rsidRDefault="00846E74" w:rsidP="00846E74">
            <w:pPr>
              <w:jc w:val="center"/>
              <w:rPr>
                <w:bCs/>
                <w:sz w:val="18"/>
                <w:szCs w:val="20"/>
              </w:rPr>
            </w:pPr>
            <w:r w:rsidRPr="008819DE">
              <w:rPr>
                <w:bCs/>
                <w:sz w:val="18"/>
                <w:szCs w:val="20"/>
              </w:rPr>
              <w:t>0.0%</w:t>
            </w:r>
          </w:p>
        </w:tc>
        <w:tc>
          <w:tcPr>
            <w:tcW w:w="664" w:type="dxa"/>
            <w:vAlign w:val="center"/>
          </w:tcPr>
          <w:p w14:paraId="5E6469B5" w14:textId="34141D58" w:rsidR="00846E74" w:rsidRPr="008819DE" w:rsidRDefault="00846E74" w:rsidP="00846E74">
            <w:pPr>
              <w:jc w:val="center"/>
              <w:rPr>
                <w:bCs/>
                <w:sz w:val="18"/>
                <w:szCs w:val="20"/>
              </w:rPr>
            </w:pPr>
            <w:r>
              <w:rPr>
                <w:bCs/>
                <w:sz w:val="18"/>
                <w:szCs w:val="20"/>
              </w:rPr>
              <w:t>0.0%</w:t>
            </w:r>
          </w:p>
        </w:tc>
        <w:tc>
          <w:tcPr>
            <w:tcW w:w="877" w:type="dxa"/>
            <w:vAlign w:val="center"/>
          </w:tcPr>
          <w:p w14:paraId="3E98DD75" w14:textId="5C9E4353" w:rsidR="00846E74" w:rsidRPr="008819DE" w:rsidRDefault="00846E74" w:rsidP="00846E74">
            <w:pPr>
              <w:jc w:val="center"/>
              <w:rPr>
                <w:bCs/>
                <w:sz w:val="18"/>
                <w:szCs w:val="20"/>
              </w:rPr>
            </w:pPr>
            <w:r>
              <w:rPr>
                <w:bCs/>
                <w:sz w:val="18"/>
                <w:szCs w:val="20"/>
              </w:rPr>
              <w:t>0.0%</w:t>
            </w:r>
          </w:p>
        </w:tc>
        <w:tc>
          <w:tcPr>
            <w:tcW w:w="875" w:type="dxa"/>
            <w:vAlign w:val="center"/>
          </w:tcPr>
          <w:p w14:paraId="4D383991" w14:textId="10AFAD52" w:rsidR="00846E74" w:rsidRPr="008819DE" w:rsidRDefault="00846E74" w:rsidP="00846E74">
            <w:pPr>
              <w:jc w:val="center"/>
              <w:rPr>
                <w:bCs/>
                <w:sz w:val="18"/>
                <w:szCs w:val="20"/>
              </w:rPr>
            </w:pPr>
            <w:r w:rsidRPr="008819DE">
              <w:rPr>
                <w:bCs/>
                <w:sz w:val="18"/>
                <w:szCs w:val="20"/>
              </w:rPr>
              <w:t>0.3%</w:t>
            </w:r>
          </w:p>
        </w:tc>
        <w:tc>
          <w:tcPr>
            <w:tcW w:w="693" w:type="dxa"/>
            <w:vAlign w:val="center"/>
          </w:tcPr>
          <w:p w14:paraId="01055056" w14:textId="04061DAF" w:rsidR="00846E74" w:rsidRPr="008819DE" w:rsidRDefault="00846E74" w:rsidP="00846E74">
            <w:pPr>
              <w:jc w:val="center"/>
              <w:rPr>
                <w:bCs/>
                <w:sz w:val="18"/>
                <w:szCs w:val="20"/>
              </w:rPr>
            </w:pPr>
            <w:r>
              <w:rPr>
                <w:bCs/>
                <w:sz w:val="18"/>
                <w:szCs w:val="20"/>
              </w:rPr>
              <w:t>0.0%</w:t>
            </w:r>
          </w:p>
        </w:tc>
        <w:tc>
          <w:tcPr>
            <w:tcW w:w="764" w:type="dxa"/>
            <w:vAlign w:val="center"/>
          </w:tcPr>
          <w:p w14:paraId="43E7B2DB" w14:textId="4327837D" w:rsidR="00846E74" w:rsidRPr="008819DE" w:rsidRDefault="00846E74" w:rsidP="00846E74">
            <w:pPr>
              <w:jc w:val="center"/>
              <w:rPr>
                <w:bCs/>
                <w:sz w:val="18"/>
                <w:szCs w:val="20"/>
              </w:rPr>
            </w:pPr>
            <w:r w:rsidRPr="008819DE">
              <w:rPr>
                <w:bCs/>
                <w:sz w:val="18"/>
                <w:szCs w:val="20"/>
              </w:rPr>
              <w:t>0.0%</w:t>
            </w:r>
          </w:p>
        </w:tc>
        <w:tc>
          <w:tcPr>
            <w:tcW w:w="664" w:type="dxa"/>
            <w:vAlign w:val="center"/>
          </w:tcPr>
          <w:p w14:paraId="2AC55D91" w14:textId="4881E917" w:rsidR="00846E74" w:rsidRPr="008819DE" w:rsidRDefault="00846E74" w:rsidP="00846E74">
            <w:pPr>
              <w:jc w:val="center"/>
              <w:rPr>
                <w:bCs/>
                <w:sz w:val="18"/>
                <w:szCs w:val="20"/>
              </w:rPr>
            </w:pPr>
            <w:r>
              <w:rPr>
                <w:bCs/>
                <w:sz w:val="18"/>
                <w:szCs w:val="20"/>
              </w:rPr>
              <w:t>0.0%</w:t>
            </w:r>
          </w:p>
        </w:tc>
        <w:tc>
          <w:tcPr>
            <w:tcW w:w="714" w:type="dxa"/>
            <w:vAlign w:val="center"/>
          </w:tcPr>
          <w:p w14:paraId="70A35917" w14:textId="306F6A11" w:rsidR="00846E74" w:rsidRPr="008819DE" w:rsidRDefault="00846E74" w:rsidP="00846E74">
            <w:pPr>
              <w:jc w:val="center"/>
              <w:rPr>
                <w:bCs/>
                <w:sz w:val="18"/>
                <w:szCs w:val="20"/>
              </w:rPr>
            </w:pPr>
            <w:r w:rsidRPr="008819DE">
              <w:rPr>
                <w:bCs/>
                <w:sz w:val="18"/>
                <w:szCs w:val="20"/>
              </w:rPr>
              <w:t>3.3%</w:t>
            </w:r>
          </w:p>
        </w:tc>
        <w:tc>
          <w:tcPr>
            <w:tcW w:w="693" w:type="dxa"/>
            <w:vAlign w:val="center"/>
          </w:tcPr>
          <w:p w14:paraId="459DCA41" w14:textId="118CD03A" w:rsidR="00846E74" w:rsidRPr="008819DE" w:rsidRDefault="00846E74" w:rsidP="00846E74">
            <w:pPr>
              <w:jc w:val="center"/>
              <w:rPr>
                <w:bCs/>
                <w:sz w:val="18"/>
                <w:szCs w:val="20"/>
              </w:rPr>
            </w:pPr>
            <w:r>
              <w:rPr>
                <w:bCs/>
                <w:sz w:val="18"/>
                <w:szCs w:val="20"/>
              </w:rPr>
              <w:t>4.7%</w:t>
            </w:r>
          </w:p>
        </w:tc>
      </w:tr>
      <w:tr w:rsidR="00846E74" w14:paraId="6146CF04" w14:textId="77777777" w:rsidTr="001B65AC">
        <w:trPr>
          <w:trHeight w:val="346"/>
        </w:trPr>
        <w:tc>
          <w:tcPr>
            <w:tcW w:w="1277" w:type="dxa"/>
            <w:vAlign w:val="center"/>
          </w:tcPr>
          <w:p w14:paraId="2BA59316" w14:textId="77777777" w:rsidR="00846E74" w:rsidRDefault="00846E74" w:rsidP="00846E74">
            <w:pPr>
              <w:jc w:val="right"/>
              <w:rPr>
                <w:bCs/>
                <w:sz w:val="20"/>
              </w:rPr>
            </w:pPr>
            <w:r>
              <w:rPr>
                <w:bCs/>
                <w:sz w:val="20"/>
              </w:rPr>
              <w:t>Pacific Islander</w:t>
            </w:r>
          </w:p>
        </w:tc>
        <w:tc>
          <w:tcPr>
            <w:tcW w:w="758" w:type="dxa"/>
            <w:vAlign w:val="center"/>
          </w:tcPr>
          <w:p w14:paraId="0A088A96" w14:textId="6E9BE1B1" w:rsidR="00846E74" w:rsidRPr="008819DE" w:rsidRDefault="00846E74" w:rsidP="00846E74">
            <w:pPr>
              <w:jc w:val="center"/>
              <w:rPr>
                <w:rFonts w:cstheme="minorHAnsi"/>
                <w:sz w:val="18"/>
                <w:szCs w:val="20"/>
              </w:rPr>
            </w:pPr>
            <w:r w:rsidRPr="008819DE">
              <w:rPr>
                <w:bCs/>
                <w:sz w:val="18"/>
                <w:szCs w:val="20"/>
              </w:rPr>
              <w:t>0.7%</w:t>
            </w:r>
          </w:p>
        </w:tc>
        <w:tc>
          <w:tcPr>
            <w:tcW w:w="664" w:type="dxa"/>
            <w:vAlign w:val="center"/>
          </w:tcPr>
          <w:p w14:paraId="04B95CEF" w14:textId="5FE80C78" w:rsidR="00846E74" w:rsidRPr="008819DE" w:rsidRDefault="00846E74" w:rsidP="00846E74">
            <w:pPr>
              <w:jc w:val="center"/>
              <w:rPr>
                <w:bCs/>
                <w:sz w:val="18"/>
                <w:szCs w:val="20"/>
              </w:rPr>
            </w:pPr>
            <w:r>
              <w:rPr>
                <w:bCs/>
                <w:sz w:val="18"/>
                <w:szCs w:val="20"/>
              </w:rPr>
              <w:t>0.7%</w:t>
            </w:r>
          </w:p>
        </w:tc>
        <w:tc>
          <w:tcPr>
            <w:tcW w:w="807" w:type="dxa"/>
            <w:vAlign w:val="center"/>
          </w:tcPr>
          <w:p w14:paraId="562EF864" w14:textId="2754CB1E" w:rsidR="00846E74" w:rsidRPr="008819DE" w:rsidRDefault="00846E74" w:rsidP="00846E74">
            <w:pPr>
              <w:jc w:val="center"/>
              <w:rPr>
                <w:rFonts w:cstheme="minorHAnsi"/>
                <w:sz w:val="18"/>
                <w:szCs w:val="20"/>
              </w:rPr>
            </w:pPr>
            <w:r w:rsidRPr="008819DE">
              <w:rPr>
                <w:bCs/>
                <w:sz w:val="18"/>
                <w:szCs w:val="20"/>
              </w:rPr>
              <w:t>0.0%</w:t>
            </w:r>
          </w:p>
        </w:tc>
        <w:tc>
          <w:tcPr>
            <w:tcW w:w="664" w:type="dxa"/>
            <w:vAlign w:val="center"/>
          </w:tcPr>
          <w:p w14:paraId="62FBFDAD" w14:textId="02B682ED" w:rsidR="00846E74" w:rsidRPr="008819DE" w:rsidRDefault="00846E74" w:rsidP="00846E74">
            <w:pPr>
              <w:jc w:val="center"/>
              <w:rPr>
                <w:bCs/>
                <w:sz w:val="18"/>
                <w:szCs w:val="20"/>
              </w:rPr>
            </w:pPr>
            <w:r>
              <w:rPr>
                <w:bCs/>
                <w:sz w:val="18"/>
                <w:szCs w:val="20"/>
              </w:rPr>
              <w:t>0.0%</w:t>
            </w:r>
          </w:p>
        </w:tc>
        <w:tc>
          <w:tcPr>
            <w:tcW w:w="877" w:type="dxa"/>
            <w:vAlign w:val="center"/>
          </w:tcPr>
          <w:p w14:paraId="5D28B1C4" w14:textId="3E89BAC4" w:rsidR="00846E74" w:rsidRPr="008819DE" w:rsidRDefault="00846E74" w:rsidP="00846E74">
            <w:pPr>
              <w:jc w:val="center"/>
              <w:rPr>
                <w:bCs/>
                <w:sz w:val="18"/>
                <w:szCs w:val="20"/>
              </w:rPr>
            </w:pPr>
            <w:r>
              <w:rPr>
                <w:bCs/>
                <w:sz w:val="18"/>
                <w:szCs w:val="20"/>
              </w:rPr>
              <w:t>0.0%</w:t>
            </w:r>
          </w:p>
        </w:tc>
        <w:tc>
          <w:tcPr>
            <w:tcW w:w="875" w:type="dxa"/>
            <w:vAlign w:val="center"/>
          </w:tcPr>
          <w:p w14:paraId="783FBE85" w14:textId="0974B3F7" w:rsidR="00846E74" w:rsidRPr="008819DE" w:rsidRDefault="00846E74" w:rsidP="00846E74">
            <w:pPr>
              <w:jc w:val="center"/>
              <w:rPr>
                <w:rFonts w:cstheme="minorHAnsi"/>
                <w:sz w:val="18"/>
                <w:szCs w:val="20"/>
              </w:rPr>
            </w:pPr>
            <w:r w:rsidRPr="008819DE">
              <w:rPr>
                <w:bCs/>
                <w:sz w:val="18"/>
                <w:szCs w:val="20"/>
              </w:rPr>
              <w:t>0.0%</w:t>
            </w:r>
          </w:p>
        </w:tc>
        <w:tc>
          <w:tcPr>
            <w:tcW w:w="693" w:type="dxa"/>
            <w:vAlign w:val="center"/>
          </w:tcPr>
          <w:p w14:paraId="407CEB01" w14:textId="79AD7A05" w:rsidR="00846E74" w:rsidRPr="008819DE" w:rsidRDefault="00846E74" w:rsidP="00846E74">
            <w:pPr>
              <w:jc w:val="center"/>
              <w:rPr>
                <w:bCs/>
                <w:sz w:val="18"/>
                <w:szCs w:val="20"/>
              </w:rPr>
            </w:pPr>
            <w:r>
              <w:rPr>
                <w:bCs/>
                <w:sz w:val="18"/>
                <w:szCs w:val="20"/>
              </w:rPr>
              <w:t>0.0%</w:t>
            </w:r>
          </w:p>
        </w:tc>
        <w:tc>
          <w:tcPr>
            <w:tcW w:w="764" w:type="dxa"/>
            <w:vAlign w:val="center"/>
          </w:tcPr>
          <w:p w14:paraId="1350546A" w14:textId="5DEC1997" w:rsidR="00846E74" w:rsidRPr="008819DE" w:rsidRDefault="00846E74" w:rsidP="00846E74">
            <w:pPr>
              <w:jc w:val="center"/>
              <w:rPr>
                <w:rFonts w:cstheme="minorHAnsi"/>
                <w:sz w:val="18"/>
                <w:szCs w:val="20"/>
              </w:rPr>
            </w:pPr>
            <w:r w:rsidRPr="008819DE">
              <w:rPr>
                <w:bCs/>
                <w:sz w:val="18"/>
                <w:szCs w:val="20"/>
              </w:rPr>
              <w:t>0.0%</w:t>
            </w:r>
          </w:p>
        </w:tc>
        <w:tc>
          <w:tcPr>
            <w:tcW w:w="664" w:type="dxa"/>
            <w:vAlign w:val="center"/>
          </w:tcPr>
          <w:p w14:paraId="0BC33230" w14:textId="3AD7E342" w:rsidR="00846E74" w:rsidRPr="008819DE" w:rsidRDefault="00846E74" w:rsidP="00846E74">
            <w:pPr>
              <w:jc w:val="center"/>
              <w:rPr>
                <w:bCs/>
                <w:sz w:val="18"/>
                <w:szCs w:val="20"/>
              </w:rPr>
            </w:pPr>
            <w:r>
              <w:rPr>
                <w:bCs/>
                <w:sz w:val="18"/>
                <w:szCs w:val="20"/>
              </w:rPr>
              <w:t>0.0%</w:t>
            </w:r>
          </w:p>
        </w:tc>
        <w:tc>
          <w:tcPr>
            <w:tcW w:w="714" w:type="dxa"/>
            <w:vAlign w:val="center"/>
          </w:tcPr>
          <w:p w14:paraId="5A692072" w14:textId="3D44D835" w:rsidR="00846E74" w:rsidRPr="008819DE" w:rsidRDefault="00846E74" w:rsidP="00846E74">
            <w:pPr>
              <w:jc w:val="center"/>
              <w:rPr>
                <w:rFonts w:cstheme="minorHAnsi"/>
                <w:sz w:val="18"/>
                <w:szCs w:val="20"/>
              </w:rPr>
            </w:pPr>
            <w:r w:rsidRPr="008819DE">
              <w:rPr>
                <w:bCs/>
                <w:sz w:val="18"/>
                <w:szCs w:val="20"/>
              </w:rPr>
              <w:t>0.0%</w:t>
            </w:r>
          </w:p>
        </w:tc>
        <w:tc>
          <w:tcPr>
            <w:tcW w:w="693" w:type="dxa"/>
            <w:vAlign w:val="center"/>
          </w:tcPr>
          <w:p w14:paraId="0E0E9A6C" w14:textId="621CFC0A" w:rsidR="00846E74" w:rsidRPr="008819DE" w:rsidRDefault="00846E74" w:rsidP="00846E74">
            <w:pPr>
              <w:jc w:val="center"/>
              <w:rPr>
                <w:bCs/>
                <w:sz w:val="18"/>
                <w:szCs w:val="20"/>
              </w:rPr>
            </w:pPr>
            <w:r>
              <w:rPr>
                <w:bCs/>
                <w:sz w:val="18"/>
                <w:szCs w:val="20"/>
              </w:rPr>
              <w:t>0.0%</w:t>
            </w:r>
          </w:p>
        </w:tc>
      </w:tr>
      <w:tr w:rsidR="00846E74" w14:paraId="3A3D6DD0" w14:textId="77777777" w:rsidTr="001B65AC">
        <w:trPr>
          <w:trHeight w:val="346"/>
        </w:trPr>
        <w:tc>
          <w:tcPr>
            <w:tcW w:w="1277" w:type="dxa"/>
            <w:vAlign w:val="center"/>
          </w:tcPr>
          <w:p w14:paraId="7480A59D" w14:textId="77777777" w:rsidR="00846E74" w:rsidRDefault="00846E74" w:rsidP="00846E74">
            <w:pPr>
              <w:jc w:val="right"/>
              <w:rPr>
                <w:bCs/>
                <w:sz w:val="20"/>
              </w:rPr>
            </w:pPr>
            <w:r>
              <w:rPr>
                <w:bCs/>
                <w:sz w:val="20"/>
              </w:rPr>
              <w:t>EC Status</w:t>
            </w:r>
          </w:p>
        </w:tc>
        <w:tc>
          <w:tcPr>
            <w:tcW w:w="758" w:type="dxa"/>
            <w:vAlign w:val="center"/>
          </w:tcPr>
          <w:p w14:paraId="065E7E16" w14:textId="6D2E37BD" w:rsidR="00846E74" w:rsidRPr="008819DE" w:rsidRDefault="00846E74" w:rsidP="00846E74">
            <w:pPr>
              <w:jc w:val="center"/>
              <w:rPr>
                <w:bCs/>
                <w:sz w:val="18"/>
                <w:szCs w:val="20"/>
              </w:rPr>
            </w:pPr>
            <w:r w:rsidRPr="008819DE">
              <w:rPr>
                <w:bCs/>
                <w:sz w:val="18"/>
                <w:szCs w:val="20"/>
              </w:rPr>
              <w:t>13.9%</w:t>
            </w:r>
          </w:p>
        </w:tc>
        <w:tc>
          <w:tcPr>
            <w:tcW w:w="664" w:type="dxa"/>
            <w:vAlign w:val="center"/>
          </w:tcPr>
          <w:p w14:paraId="7217C3D1" w14:textId="64333E9E" w:rsidR="00846E74" w:rsidRPr="008819DE" w:rsidRDefault="00846E74" w:rsidP="00846E74">
            <w:pPr>
              <w:jc w:val="center"/>
              <w:rPr>
                <w:bCs/>
                <w:sz w:val="18"/>
                <w:szCs w:val="20"/>
              </w:rPr>
            </w:pPr>
            <w:r>
              <w:rPr>
                <w:bCs/>
                <w:sz w:val="18"/>
                <w:szCs w:val="20"/>
              </w:rPr>
              <w:t>10.5%</w:t>
            </w:r>
          </w:p>
        </w:tc>
        <w:tc>
          <w:tcPr>
            <w:tcW w:w="807" w:type="dxa"/>
            <w:vAlign w:val="center"/>
          </w:tcPr>
          <w:p w14:paraId="14C0211D" w14:textId="7B010A8C" w:rsidR="00846E74" w:rsidRPr="008819DE" w:rsidRDefault="00846E74" w:rsidP="00846E74">
            <w:pPr>
              <w:jc w:val="center"/>
              <w:rPr>
                <w:bCs/>
                <w:sz w:val="18"/>
                <w:szCs w:val="20"/>
              </w:rPr>
            </w:pPr>
            <w:r w:rsidRPr="008819DE">
              <w:rPr>
                <w:bCs/>
                <w:sz w:val="18"/>
                <w:szCs w:val="20"/>
              </w:rPr>
              <w:t>17.9%</w:t>
            </w:r>
          </w:p>
        </w:tc>
        <w:tc>
          <w:tcPr>
            <w:tcW w:w="664" w:type="dxa"/>
            <w:vAlign w:val="center"/>
          </w:tcPr>
          <w:p w14:paraId="29C31680" w14:textId="2EC97C4A" w:rsidR="00846E74" w:rsidRPr="008819DE" w:rsidRDefault="00846E74" w:rsidP="00846E74">
            <w:pPr>
              <w:jc w:val="center"/>
              <w:rPr>
                <w:bCs/>
                <w:sz w:val="18"/>
                <w:szCs w:val="20"/>
              </w:rPr>
            </w:pPr>
            <w:r>
              <w:rPr>
                <w:bCs/>
                <w:sz w:val="18"/>
                <w:szCs w:val="20"/>
              </w:rPr>
              <w:t>29.4%</w:t>
            </w:r>
          </w:p>
        </w:tc>
        <w:tc>
          <w:tcPr>
            <w:tcW w:w="877" w:type="dxa"/>
            <w:vAlign w:val="center"/>
          </w:tcPr>
          <w:p w14:paraId="00215BA4" w14:textId="44CED575" w:rsidR="00846E74" w:rsidRPr="008819DE" w:rsidRDefault="00846E74" w:rsidP="00846E74">
            <w:pPr>
              <w:jc w:val="center"/>
              <w:rPr>
                <w:bCs/>
                <w:sz w:val="18"/>
                <w:szCs w:val="20"/>
              </w:rPr>
            </w:pPr>
            <w:r>
              <w:rPr>
                <w:bCs/>
                <w:sz w:val="18"/>
                <w:szCs w:val="20"/>
              </w:rPr>
              <w:t>13.7%</w:t>
            </w:r>
          </w:p>
        </w:tc>
        <w:tc>
          <w:tcPr>
            <w:tcW w:w="875" w:type="dxa"/>
            <w:vAlign w:val="center"/>
          </w:tcPr>
          <w:p w14:paraId="3C42F27C" w14:textId="7D389E64" w:rsidR="00846E74" w:rsidRPr="008819DE" w:rsidRDefault="00846E74" w:rsidP="00846E74">
            <w:pPr>
              <w:jc w:val="center"/>
              <w:rPr>
                <w:bCs/>
                <w:sz w:val="18"/>
                <w:szCs w:val="20"/>
              </w:rPr>
            </w:pPr>
            <w:r w:rsidRPr="008819DE">
              <w:rPr>
                <w:bCs/>
                <w:sz w:val="18"/>
                <w:szCs w:val="20"/>
              </w:rPr>
              <w:t>16.2%</w:t>
            </w:r>
          </w:p>
        </w:tc>
        <w:tc>
          <w:tcPr>
            <w:tcW w:w="693" w:type="dxa"/>
            <w:vAlign w:val="center"/>
          </w:tcPr>
          <w:p w14:paraId="6F5D4B8C" w14:textId="0F2EFB8B" w:rsidR="00846E74" w:rsidRPr="008819DE" w:rsidRDefault="00846E74" w:rsidP="00846E74">
            <w:pPr>
              <w:jc w:val="center"/>
              <w:rPr>
                <w:bCs/>
                <w:sz w:val="18"/>
                <w:szCs w:val="20"/>
              </w:rPr>
            </w:pPr>
            <w:r>
              <w:rPr>
                <w:bCs/>
                <w:sz w:val="18"/>
                <w:szCs w:val="20"/>
              </w:rPr>
              <w:t>17.4%</w:t>
            </w:r>
          </w:p>
        </w:tc>
        <w:tc>
          <w:tcPr>
            <w:tcW w:w="764" w:type="dxa"/>
            <w:vAlign w:val="center"/>
          </w:tcPr>
          <w:p w14:paraId="69282528" w14:textId="459EA520" w:rsidR="00846E74" w:rsidRPr="008819DE" w:rsidRDefault="00846E74" w:rsidP="00846E74">
            <w:pPr>
              <w:jc w:val="center"/>
              <w:rPr>
                <w:bCs/>
                <w:sz w:val="18"/>
                <w:szCs w:val="20"/>
              </w:rPr>
            </w:pPr>
            <w:r w:rsidRPr="008819DE">
              <w:rPr>
                <w:bCs/>
                <w:sz w:val="18"/>
                <w:szCs w:val="20"/>
              </w:rPr>
              <w:t>18.1%</w:t>
            </w:r>
          </w:p>
        </w:tc>
        <w:tc>
          <w:tcPr>
            <w:tcW w:w="664" w:type="dxa"/>
            <w:vAlign w:val="center"/>
          </w:tcPr>
          <w:p w14:paraId="44264D91" w14:textId="073634E5" w:rsidR="00846E74" w:rsidRPr="008819DE" w:rsidRDefault="00846E74" w:rsidP="00846E74">
            <w:pPr>
              <w:jc w:val="center"/>
              <w:rPr>
                <w:bCs/>
                <w:sz w:val="18"/>
                <w:szCs w:val="20"/>
              </w:rPr>
            </w:pPr>
            <w:r>
              <w:rPr>
                <w:bCs/>
                <w:sz w:val="18"/>
                <w:szCs w:val="20"/>
              </w:rPr>
              <w:t>20.7%</w:t>
            </w:r>
          </w:p>
        </w:tc>
        <w:tc>
          <w:tcPr>
            <w:tcW w:w="714" w:type="dxa"/>
            <w:vAlign w:val="center"/>
          </w:tcPr>
          <w:p w14:paraId="0C7A8BF2" w14:textId="15272E6A" w:rsidR="00846E74" w:rsidRPr="008819DE" w:rsidRDefault="00846E74" w:rsidP="00846E74">
            <w:pPr>
              <w:jc w:val="center"/>
              <w:rPr>
                <w:bCs/>
                <w:sz w:val="18"/>
                <w:szCs w:val="20"/>
              </w:rPr>
            </w:pPr>
            <w:r w:rsidRPr="008819DE">
              <w:rPr>
                <w:bCs/>
                <w:sz w:val="18"/>
                <w:szCs w:val="20"/>
              </w:rPr>
              <w:t>16.7%</w:t>
            </w:r>
          </w:p>
        </w:tc>
        <w:tc>
          <w:tcPr>
            <w:tcW w:w="693" w:type="dxa"/>
            <w:vAlign w:val="center"/>
          </w:tcPr>
          <w:p w14:paraId="54577557" w14:textId="0CFDE39A" w:rsidR="00846E74" w:rsidRPr="008819DE" w:rsidRDefault="00846E74" w:rsidP="00846E74">
            <w:pPr>
              <w:jc w:val="center"/>
              <w:rPr>
                <w:bCs/>
                <w:sz w:val="18"/>
                <w:szCs w:val="20"/>
              </w:rPr>
            </w:pPr>
            <w:r>
              <w:rPr>
                <w:bCs/>
                <w:sz w:val="18"/>
                <w:szCs w:val="20"/>
              </w:rPr>
              <w:t>27.9%</w:t>
            </w:r>
          </w:p>
        </w:tc>
      </w:tr>
      <w:tr w:rsidR="00846E74" w14:paraId="78AB2652" w14:textId="77777777" w:rsidTr="001B65AC">
        <w:trPr>
          <w:trHeight w:val="346"/>
        </w:trPr>
        <w:tc>
          <w:tcPr>
            <w:tcW w:w="1277" w:type="dxa"/>
            <w:vAlign w:val="center"/>
          </w:tcPr>
          <w:p w14:paraId="61AA8AEB" w14:textId="77777777" w:rsidR="00846E74" w:rsidRDefault="00846E74" w:rsidP="00846E74">
            <w:pPr>
              <w:jc w:val="right"/>
              <w:rPr>
                <w:bCs/>
                <w:sz w:val="20"/>
              </w:rPr>
            </w:pPr>
            <w:r>
              <w:rPr>
                <w:bCs/>
                <w:sz w:val="20"/>
              </w:rPr>
              <w:t>Low-Income</w:t>
            </w:r>
          </w:p>
        </w:tc>
        <w:tc>
          <w:tcPr>
            <w:tcW w:w="758" w:type="dxa"/>
            <w:vAlign w:val="center"/>
          </w:tcPr>
          <w:p w14:paraId="66A048B6" w14:textId="5DD293E0" w:rsidR="00846E74" w:rsidRPr="008819DE" w:rsidRDefault="00846E74" w:rsidP="00846E74">
            <w:pPr>
              <w:jc w:val="center"/>
              <w:rPr>
                <w:rFonts w:cstheme="minorHAnsi"/>
                <w:sz w:val="18"/>
                <w:szCs w:val="20"/>
              </w:rPr>
            </w:pPr>
            <w:r w:rsidRPr="008819DE">
              <w:rPr>
                <w:rFonts w:cstheme="minorHAnsi"/>
                <w:sz w:val="18"/>
                <w:szCs w:val="20"/>
              </w:rPr>
              <w:t>62.2%</w:t>
            </w:r>
          </w:p>
        </w:tc>
        <w:tc>
          <w:tcPr>
            <w:tcW w:w="664" w:type="dxa"/>
            <w:vAlign w:val="center"/>
          </w:tcPr>
          <w:p w14:paraId="2E126B2D" w14:textId="2ABF1CC9" w:rsidR="00846E74" w:rsidRPr="008819DE" w:rsidRDefault="00846E74" w:rsidP="00846E74">
            <w:pPr>
              <w:jc w:val="center"/>
              <w:rPr>
                <w:bCs/>
                <w:sz w:val="18"/>
                <w:szCs w:val="20"/>
              </w:rPr>
            </w:pPr>
            <w:r w:rsidRPr="008819DE">
              <w:rPr>
                <w:bCs/>
                <w:sz w:val="18"/>
                <w:szCs w:val="20"/>
              </w:rPr>
              <w:t>N/A</w:t>
            </w:r>
          </w:p>
        </w:tc>
        <w:tc>
          <w:tcPr>
            <w:tcW w:w="807" w:type="dxa"/>
            <w:vAlign w:val="center"/>
          </w:tcPr>
          <w:p w14:paraId="13A656E5" w14:textId="10C4DBE4" w:rsidR="00846E74" w:rsidRPr="008819DE" w:rsidRDefault="00846E74" w:rsidP="00846E74">
            <w:pPr>
              <w:jc w:val="center"/>
              <w:rPr>
                <w:rFonts w:cstheme="minorHAnsi"/>
                <w:sz w:val="18"/>
                <w:szCs w:val="20"/>
              </w:rPr>
            </w:pPr>
            <w:r w:rsidRPr="008819DE">
              <w:rPr>
                <w:rFonts w:cstheme="minorHAnsi"/>
                <w:sz w:val="18"/>
                <w:szCs w:val="20"/>
              </w:rPr>
              <w:t>100.0%</w:t>
            </w:r>
          </w:p>
        </w:tc>
        <w:tc>
          <w:tcPr>
            <w:tcW w:w="664" w:type="dxa"/>
            <w:vAlign w:val="center"/>
          </w:tcPr>
          <w:p w14:paraId="6F6055D9" w14:textId="7FDA7DA8" w:rsidR="00846E74" w:rsidRPr="008819DE" w:rsidRDefault="00846E74" w:rsidP="00846E74">
            <w:pPr>
              <w:jc w:val="center"/>
              <w:rPr>
                <w:bCs/>
                <w:sz w:val="18"/>
                <w:szCs w:val="20"/>
              </w:rPr>
            </w:pPr>
            <w:r w:rsidRPr="008819DE">
              <w:rPr>
                <w:bCs/>
                <w:sz w:val="18"/>
                <w:szCs w:val="20"/>
              </w:rPr>
              <w:t>N/A</w:t>
            </w:r>
          </w:p>
        </w:tc>
        <w:tc>
          <w:tcPr>
            <w:tcW w:w="877" w:type="dxa"/>
            <w:vAlign w:val="center"/>
          </w:tcPr>
          <w:p w14:paraId="1FF62397" w14:textId="1C899651" w:rsidR="00846E74" w:rsidRPr="008819DE" w:rsidRDefault="00846E74" w:rsidP="00846E74">
            <w:pPr>
              <w:jc w:val="center"/>
              <w:rPr>
                <w:bCs/>
                <w:sz w:val="18"/>
                <w:szCs w:val="20"/>
              </w:rPr>
            </w:pPr>
            <w:r w:rsidRPr="008819DE">
              <w:rPr>
                <w:bCs/>
                <w:sz w:val="18"/>
                <w:szCs w:val="20"/>
              </w:rPr>
              <w:t>N/A</w:t>
            </w:r>
          </w:p>
        </w:tc>
        <w:tc>
          <w:tcPr>
            <w:tcW w:w="875" w:type="dxa"/>
            <w:vAlign w:val="center"/>
          </w:tcPr>
          <w:p w14:paraId="5DCA4AAF" w14:textId="098CADB9" w:rsidR="00846E74" w:rsidRPr="008819DE" w:rsidRDefault="00846E74" w:rsidP="00846E74">
            <w:pPr>
              <w:jc w:val="center"/>
              <w:rPr>
                <w:rFonts w:cstheme="minorHAnsi"/>
                <w:sz w:val="18"/>
                <w:szCs w:val="20"/>
              </w:rPr>
            </w:pPr>
            <w:r w:rsidRPr="008819DE">
              <w:rPr>
                <w:rFonts w:cstheme="minorHAnsi"/>
                <w:sz w:val="18"/>
                <w:szCs w:val="20"/>
              </w:rPr>
              <w:t>98.6%</w:t>
            </w:r>
          </w:p>
        </w:tc>
        <w:tc>
          <w:tcPr>
            <w:tcW w:w="693" w:type="dxa"/>
            <w:vAlign w:val="center"/>
          </w:tcPr>
          <w:p w14:paraId="34A0084C" w14:textId="52512C78" w:rsidR="00846E74" w:rsidRPr="008819DE" w:rsidRDefault="00846E74" w:rsidP="00846E74">
            <w:pPr>
              <w:jc w:val="center"/>
              <w:rPr>
                <w:bCs/>
                <w:sz w:val="18"/>
                <w:szCs w:val="20"/>
              </w:rPr>
            </w:pPr>
            <w:r w:rsidRPr="008819DE">
              <w:rPr>
                <w:bCs/>
                <w:sz w:val="18"/>
                <w:szCs w:val="20"/>
              </w:rPr>
              <w:t>N/A</w:t>
            </w:r>
          </w:p>
        </w:tc>
        <w:tc>
          <w:tcPr>
            <w:tcW w:w="764" w:type="dxa"/>
            <w:vAlign w:val="center"/>
          </w:tcPr>
          <w:p w14:paraId="7A6B1496" w14:textId="45DA9BAA" w:rsidR="00846E74" w:rsidRPr="008819DE" w:rsidRDefault="00846E74" w:rsidP="00846E74">
            <w:pPr>
              <w:jc w:val="center"/>
              <w:rPr>
                <w:rFonts w:cstheme="minorHAnsi"/>
                <w:sz w:val="18"/>
                <w:szCs w:val="20"/>
              </w:rPr>
            </w:pPr>
            <w:r w:rsidRPr="008819DE">
              <w:rPr>
                <w:rFonts w:cstheme="minorHAnsi"/>
                <w:sz w:val="18"/>
                <w:szCs w:val="20"/>
              </w:rPr>
              <w:t>100.0%</w:t>
            </w:r>
          </w:p>
        </w:tc>
        <w:tc>
          <w:tcPr>
            <w:tcW w:w="664" w:type="dxa"/>
            <w:vAlign w:val="center"/>
          </w:tcPr>
          <w:p w14:paraId="7901BB8B" w14:textId="6F97BBDC" w:rsidR="00846E74" w:rsidRPr="008819DE" w:rsidRDefault="00846E74" w:rsidP="00846E74">
            <w:pPr>
              <w:jc w:val="center"/>
              <w:rPr>
                <w:bCs/>
                <w:sz w:val="18"/>
                <w:szCs w:val="20"/>
              </w:rPr>
            </w:pPr>
            <w:r w:rsidRPr="008819DE">
              <w:rPr>
                <w:bCs/>
                <w:sz w:val="18"/>
                <w:szCs w:val="20"/>
              </w:rPr>
              <w:t>N/A</w:t>
            </w:r>
          </w:p>
        </w:tc>
        <w:tc>
          <w:tcPr>
            <w:tcW w:w="714" w:type="dxa"/>
            <w:vAlign w:val="center"/>
          </w:tcPr>
          <w:p w14:paraId="5284C9D7" w14:textId="47FAA074" w:rsidR="00846E74" w:rsidRPr="008819DE" w:rsidRDefault="00846E74" w:rsidP="00846E74">
            <w:pPr>
              <w:jc w:val="center"/>
              <w:rPr>
                <w:rFonts w:cstheme="minorHAnsi"/>
                <w:sz w:val="18"/>
                <w:szCs w:val="20"/>
              </w:rPr>
            </w:pPr>
            <w:r w:rsidRPr="008819DE">
              <w:rPr>
                <w:rFonts w:cstheme="minorHAnsi"/>
                <w:sz w:val="18"/>
                <w:szCs w:val="20"/>
              </w:rPr>
              <w:t>32.7%</w:t>
            </w:r>
          </w:p>
        </w:tc>
        <w:tc>
          <w:tcPr>
            <w:tcW w:w="693" w:type="dxa"/>
            <w:vAlign w:val="center"/>
          </w:tcPr>
          <w:p w14:paraId="4B40312B" w14:textId="255BA647" w:rsidR="00846E74" w:rsidRPr="008819DE" w:rsidRDefault="00846E74" w:rsidP="00846E74">
            <w:pPr>
              <w:jc w:val="center"/>
              <w:rPr>
                <w:bCs/>
                <w:sz w:val="18"/>
                <w:szCs w:val="20"/>
              </w:rPr>
            </w:pPr>
            <w:r w:rsidRPr="008819DE">
              <w:rPr>
                <w:bCs/>
                <w:sz w:val="18"/>
                <w:szCs w:val="20"/>
              </w:rPr>
              <w:t>N/A</w:t>
            </w:r>
          </w:p>
        </w:tc>
      </w:tr>
    </w:tbl>
    <w:p w14:paraId="58EA009D" w14:textId="0F677C0F" w:rsidR="00462A3E" w:rsidRPr="007B5488" w:rsidRDefault="00462A3E" w:rsidP="00462A3E">
      <w:pPr>
        <w:spacing w:after="0" w:line="240" w:lineRule="auto"/>
        <w:jc w:val="both"/>
        <w:rPr>
          <w:bCs/>
          <w:i/>
          <w:sz w:val="16"/>
        </w:rPr>
      </w:pPr>
      <w:r>
        <w:rPr>
          <w:bCs/>
          <w:i/>
          <w:sz w:val="16"/>
        </w:rPr>
        <w:t>Note: This table displays characteristics of the students enrolled at UNC System laboratory schools in the 201</w:t>
      </w:r>
      <w:r w:rsidR="000B6FA2">
        <w:rPr>
          <w:bCs/>
          <w:i/>
          <w:sz w:val="16"/>
        </w:rPr>
        <w:t xml:space="preserve">9-20 and 2020-21 </w:t>
      </w:r>
      <w:r>
        <w:rPr>
          <w:bCs/>
          <w:i/>
          <w:sz w:val="16"/>
        </w:rPr>
        <w:t>school years. Most of the data in this table comes from the Principal’s Monthly Report from the 20</w:t>
      </w:r>
      <w:r w:rsidRPr="007B5488">
        <w:rPr>
          <w:bCs/>
          <w:i/>
          <w:sz w:val="16"/>
          <w:vertAlign w:val="superscript"/>
        </w:rPr>
        <w:t>th</w:t>
      </w:r>
      <w:r>
        <w:rPr>
          <w:bCs/>
          <w:i/>
          <w:sz w:val="16"/>
        </w:rPr>
        <w:t xml:space="preserve"> day of the school year.</w:t>
      </w:r>
      <w:r w:rsidRPr="00B0599F">
        <w:rPr>
          <w:bCs/>
          <w:i/>
          <w:sz w:val="16"/>
        </w:rPr>
        <w:t xml:space="preserve"> </w:t>
      </w:r>
      <w:r>
        <w:rPr>
          <w:bCs/>
          <w:i/>
          <w:sz w:val="16"/>
        </w:rPr>
        <w:t>The low-income data come from the 201</w:t>
      </w:r>
      <w:r w:rsidR="00B06C5E">
        <w:rPr>
          <w:bCs/>
          <w:i/>
          <w:sz w:val="16"/>
        </w:rPr>
        <w:t>9-20</w:t>
      </w:r>
      <w:r>
        <w:rPr>
          <w:bCs/>
          <w:i/>
          <w:sz w:val="16"/>
        </w:rPr>
        <w:t xml:space="preserve"> Title I federal reporting. Please see </w:t>
      </w:r>
      <w:hyperlink r:id="rId14" w:anchor="title-i---eligible-schools-summary-report-(essr)" w:history="1">
        <w:r w:rsidR="001C3B8B" w:rsidRPr="00F67616">
          <w:rPr>
            <w:rStyle w:val="Hyperlink"/>
            <w:bCs/>
            <w:i/>
            <w:sz w:val="16"/>
          </w:rPr>
          <w:t>https://www.dpi.nc.gov/districts-schools/federal-program-monitoring#title-i---eligible-schools-summary-report-(essr)</w:t>
        </w:r>
      </w:hyperlink>
      <w:r w:rsidR="001C3B8B">
        <w:rPr>
          <w:bCs/>
          <w:i/>
          <w:sz w:val="16"/>
        </w:rPr>
        <w:t xml:space="preserve"> </w:t>
      </w:r>
      <w:r>
        <w:rPr>
          <w:bCs/>
          <w:i/>
          <w:sz w:val="16"/>
        </w:rPr>
        <w:t>for those data. These Title I data are not yet available for the 20</w:t>
      </w:r>
      <w:r w:rsidR="00B06C5E">
        <w:rPr>
          <w:bCs/>
          <w:i/>
          <w:sz w:val="16"/>
        </w:rPr>
        <w:t>20-21</w:t>
      </w:r>
      <w:r>
        <w:rPr>
          <w:bCs/>
          <w:i/>
          <w:sz w:val="16"/>
        </w:rPr>
        <w:t xml:space="preserve"> school year. N/A=not available. </w:t>
      </w:r>
    </w:p>
    <w:p w14:paraId="67A50662" w14:textId="77777777" w:rsidR="00462A3E" w:rsidRDefault="00462A3E" w:rsidP="00264C6A">
      <w:pPr>
        <w:spacing w:after="0" w:line="240" w:lineRule="auto"/>
        <w:rPr>
          <w:i/>
        </w:rPr>
      </w:pPr>
    </w:p>
    <w:p w14:paraId="622BC79D" w14:textId="59921E9E" w:rsidR="003A23F3" w:rsidRDefault="003A23F3" w:rsidP="003A23F3">
      <w:pPr>
        <w:rPr>
          <w:i/>
        </w:rPr>
      </w:pPr>
      <w:r w:rsidRPr="0039372F">
        <w:rPr>
          <w:i/>
        </w:rPr>
        <w:t>School design</w:t>
      </w:r>
    </w:p>
    <w:p w14:paraId="62641D55" w14:textId="76D81FBF" w:rsidR="00204CF0" w:rsidRDefault="0054270D" w:rsidP="00324CFA">
      <w:pPr>
        <w:spacing w:after="0" w:line="240" w:lineRule="auto"/>
        <w:jc w:val="both"/>
        <w:rPr>
          <w:rFonts w:cstheme="minorHAnsi"/>
        </w:rPr>
      </w:pPr>
      <w:r>
        <w:rPr>
          <w:rFonts w:cstheme="minorHAnsi"/>
        </w:rPr>
        <w:t>T</w:t>
      </w:r>
      <w:r w:rsidR="00BD6132" w:rsidRPr="00257EF8">
        <w:rPr>
          <w:rFonts w:cstheme="minorHAnsi"/>
        </w:rPr>
        <w:t>he laboratory school enabling legislation sets out defining characteristics of laboratory schools that distinguish them from other North Carolina public schools. Specifically, laboratory schools are set up to</w:t>
      </w:r>
      <w:r w:rsidR="00324CFA">
        <w:rPr>
          <w:rFonts w:cstheme="minorHAnsi"/>
        </w:rPr>
        <w:t xml:space="preserve"> </w:t>
      </w:r>
      <w:r w:rsidR="00BD6132" w:rsidRPr="00257EF8">
        <w:rPr>
          <w:rFonts w:cstheme="minorHAnsi"/>
        </w:rPr>
        <w:t>serve students who are low-performing or attended a low-performing school (rated D or F under the state school rating system), transform and improve teacher and school leader preparation, and operate under the governance of the UNC System.</w:t>
      </w:r>
      <w:r w:rsidR="00BD6132">
        <w:rPr>
          <w:rFonts w:cstheme="minorHAnsi"/>
        </w:rPr>
        <w:t xml:space="preserve"> </w:t>
      </w:r>
      <w:r>
        <w:rPr>
          <w:rFonts w:cstheme="minorHAnsi"/>
        </w:rPr>
        <w:t xml:space="preserve">Laboratory schools present an opportunity for COE faculty at </w:t>
      </w:r>
      <w:r w:rsidR="00324CFA">
        <w:rPr>
          <w:rFonts w:cstheme="minorHAnsi"/>
        </w:rPr>
        <w:t xml:space="preserve">UNC System institutions to lead the development and piloting of innovative instructional and school operation practices. These innovative practices may </w:t>
      </w:r>
      <w:r w:rsidR="00204CF0">
        <w:rPr>
          <w:rFonts w:cstheme="minorHAnsi"/>
        </w:rPr>
        <w:t xml:space="preserve">improve the learning outcomes for students and enhance educator preparation. </w:t>
      </w:r>
    </w:p>
    <w:p w14:paraId="0DCCBB3C" w14:textId="77777777" w:rsidR="00204CF0" w:rsidRDefault="00204CF0" w:rsidP="00324CFA">
      <w:pPr>
        <w:spacing w:after="0" w:line="240" w:lineRule="auto"/>
        <w:jc w:val="both"/>
        <w:rPr>
          <w:rFonts w:cstheme="minorHAnsi"/>
        </w:rPr>
      </w:pPr>
    </w:p>
    <w:p w14:paraId="6931379D" w14:textId="55035229" w:rsidR="00EC528D" w:rsidRPr="00204CF0" w:rsidRDefault="00A0191E" w:rsidP="00324CFA">
      <w:pPr>
        <w:spacing w:after="0" w:line="240" w:lineRule="auto"/>
        <w:jc w:val="both"/>
      </w:pPr>
      <w:r>
        <w:rPr>
          <w:rFonts w:cstheme="minorHAnsi"/>
        </w:rPr>
        <w:lastRenderedPageBreak/>
        <w:t xml:space="preserve">Established, governed, and operated independently of each other, laboratory schools </w:t>
      </w:r>
      <w:r w:rsidR="00610AF7">
        <w:rPr>
          <w:rFonts w:cstheme="minorHAnsi"/>
        </w:rPr>
        <w:t>provide an opportunity for COEs to design distinctly different schools reflecting the needs of the communities they serve and the strengths and capacities of their respective UNC System institutions. However, t</w:t>
      </w:r>
      <w:r w:rsidR="00EC528D">
        <w:rPr>
          <w:rFonts w:cstheme="minorHAnsi"/>
        </w:rPr>
        <w:t>he legislative d</w:t>
      </w:r>
      <w:r w:rsidR="00204CF0">
        <w:rPr>
          <w:rFonts w:cstheme="minorHAnsi"/>
        </w:rPr>
        <w:t>esign of laboratory schools has</w:t>
      </w:r>
      <w:r w:rsidR="00EC528D">
        <w:rPr>
          <w:rFonts w:cstheme="minorHAnsi"/>
        </w:rPr>
        <w:t xml:space="preserve"> resulted in</w:t>
      </w:r>
      <w:r w:rsidR="00A909F2">
        <w:rPr>
          <w:rFonts w:cstheme="minorHAnsi"/>
        </w:rPr>
        <w:t xml:space="preserve"> several common, </w:t>
      </w:r>
      <w:r w:rsidR="00204CF0">
        <w:rPr>
          <w:rFonts w:cstheme="minorHAnsi"/>
        </w:rPr>
        <w:t>defining characteristics. Laboratory schools</w:t>
      </w:r>
      <w:r w:rsidR="00EC528D" w:rsidRPr="00EC528D">
        <w:rPr>
          <w:rFonts w:cstheme="minorHAnsi"/>
        </w:rPr>
        <w:t xml:space="preserve"> </w:t>
      </w:r>
      <w:r w:rsidR="00EC528D" w:rsidRPr="00A90E3A">
        <w:t>serv</w:t>
      </w:r>
      <w:r w:rsidR="00EC528D">
        <w:t>e</w:t>
      </w:r>
      <w:r w:rsidR="00EC528D" w:rsidRPr="00A90E3A">
        <w:t xml:space="preserve"> high concentrations of high-need students</w:t>
      </w:r>
      <w:r w:rsidR="00204CF0">
        <w:t xml:space="preserve"> and are generally located in low-resource communities. For example, t</w:t>
      </w:r>
      <w:r w:rsidR="00EC528D">
        <w:t>he laboratory schools that opened in 2018</w:t>
      </w:r>
      <w:r w:rsidR="00204CF0">
        <w:t>-19</w:t>
      </w:r>
      <w:r w:rsidR="00EC528D">
        <w:t xml:space="preserve"> are former district schools serving low-income neighborhoods and experiencing declining populations. </w:t>
      </w:r>
      <w:r w:rsidR="00EC528D">
        <w:rPr>
          <w:rFonts w:cstheme="minorHAnsi"/>
        </w:rPr>
        <w:t xml:space="preserve">Funding amounts allocated to laboratory schools also challenge </w:t>
      </w:r>
      <w:r w:rsidR="0041316D">
        <w:rPr>
          <w:rFonts w:cstheme="minorHAnsi"/>
        </w:rPr>
        <w:t>COE</w:t>
      </w:r>
      <w:r w:rsidR="00EC528D">
        <w:rPr>
          <w:rFonts w:cstheme="minorHAnsi"/>
        </w:rPr>
        <w:t xml:space="preserve"> faculty and laboratory school administrators to think creatively about the operation of a K-12 public school</w:t>
      </w:r>
      <w:r w:rsidR="006A2529">
        <w:rPr>
          <w:rFonts w:cstheme="minorHAnsi"/>
        </w:rPr>
        <w:t>.</w:t>
      </w:r>
    </w:p>
    <w:p w14:paraId="2DC68B0C" w14:textId="77777777" w:rsidR="00324CFA" w:rsidRDefault="00324CFA" w:rsidP="00324CFA">
      <w:pPr>
        <w:spacing w:after="0" w:line="240" w:lineRule="auto"/>
        <w:jc w:val="both"/>
        <w:rPr>
          <w:rFonts w:cstheme="minorHAnsi"/>
        </w:rPr>
      </w:pPr>
    </w:p>
    <w:p w14:paraId="124ADA4D" w14:textId="67DBF5CD" w:rsidR="00466A4D" w:rsidRDefault="006A2529" w:rsidP="00324CFA">
      <w:pPr>
        <w:spacing w:after="0" w:line="240" w:lineRule="auto"/>
        <w:jc w:val="both"/>
      </w:pPr>
      <w:r>
        <w:rPr>
          <w:rFonts w:cstheme="minorHAnsi"/>
        </w:rPr>
        <w:t>T</w:t>
      </w:r>
      <w:r w:rsidR="00F47F56">
        <w:rPr>
          <w:rFonts w:cstheme="minorHAnsi"/>
        </w:rPr>
        <w:t>he</w:t>
      </w:r>
      <w:r w:rsidR="00B74E07">
        <w:rPr>
          <w:rFonts w:cstheme="minorHAnsi"/>
        </w:rPr>
        <w:t>se</w:t>
      </w:r>
      <w:r w:rsidR="00F47F56">
        <w:rPr>
          <w:rFonts w:cstheme="minorHAnsi"/>
        </w:rPr>
        <w:t xml:space="preserve"> common defining characteristics of </w:t>
      </w:r>
      <w:r w:rsidR="001A6348" w:rsidRPr="00257EF8">
        <w:rPr>
          <w:rFonts w:cstheme="minorHAnsi"/>
        </w:rPr>
        <w:t>laboratory schools</w:t>
      </w:r>
      <w:r w:rsidR="005D2DCC">
        <w:rPr>
          <w:rFonts w:cstheme="minorHAnsi"/>
        </w:rPr>
        <w:t xml:space="preserve"> </w:t>
      </w:r>
      <w:r w:rsidR="00F47F56">
        <w:rPr>
          <w:rFonts w:cstheme="minorHAnsi"/>
        </w:rPr>
        <w:t xml:space="preserve">drive </w:t>
      </w:r>
      <w:r w:rsidR="005D2DCC">
        <w:rPr>
          <w:rFonts w:cstheme="minorHAnsi"/>
        </w:rPr>
        <w:t>common goals</w:t>
      </w:r>
      <w:r w:rsidR="00F47F56">
        <w:rPr>
          <w:rFonts w:cstheme="minorHAnsi"/>
        </w:rPr>
        <w:t xml:space="preserve">, </w:t>
      </w:r>
      <w:r w:rsidR="005D2DCC">
        <w:rPr>
          <w:rFonts w:cstheme="minorHAnsi"/>
        </w:rPr>
        <w:t>inc</w:t>
      </w:r>
      <w:r w:rsidR="001A6348" w:rsidRPr="00257EF8">
        <w:rPr>
          <w:rFonts w:cstheme="minorHAnsi"/>
        </w:rPr>
        <w:t>lud</w:t>
      </w:r>
      <w:r w:rsidR="005D2DCC">
        <w:rPr>
          <w:rFonts w:cstheme="minorHAnsi"/>
        </w:rPr>
        <w:t>ing</w:t>
      </w:r>
      <w:r w:rsidR="001A6348" w:rsidRPr="00257EF8">
        <w:rPr>
          <w:rFonts w:cstheme="minorHAnsi"/>
        </w:rPr>
        <w:t xml:space="preserve"> (1) ensuring that students attending laboratory schools are well-served; (2) contributing to the field of education by improving approaches to instruct students and prepare future educators; and (3) improving K-12 student outcomes by identifying and modeling best practices that other North Carolina schools can adopt</w:t>
      </w:r>
      <w:r w:rsidR="002F3830">
        <w:rPr>
          <w:rFonts w:cstheme="minorHAnsi"/>
        </w:rPr>
        <w:t>, particularly for high-need students</w:t>
      </w:r>
      <w:r w:rsidR="001A6348" w:rsidRPr="00257EF8">
        <w:rPr>
          <w:rFonts w:cstheme="minorHAnsi"/>
        </w:rPr>
        <w:t xml:space="preserve">. </w:t>
      </w:r>
      <w:r w:rsidR="002F3830">
        <w:t>Common defining characteristics and goals drive, in turn, some c</w:t>
      </w:r>
      <w:r w:rsidR="00F90B17" w:rsidRPr="00F90B17">
        <w:t xml:space="preserve">ommon features </w:t>
      </w:r>
      <w:r w:rsidR="002F3830">
        <w:t>among laboratory schools</w:t>
      </w:r>
      <w:r w:rsidR="00466A4D">
        <w:t xml:space="preserve">. </w:t>
      </w:r>
      <w:r w:rsidR="009F700D">
        <w:t xml:space="preserve"> </w:t>
      </w:r>
    </w:p>
    <w:p w14:paraId="34D1067B" w14:textId="77777777" w:rsidR="00324CFA" w:rsidRDefault="00324CFA" w:rsidP="00324CFA">
      <w:pPr>
        <w:spacing w:after="0" w:line="240" w:lineRule="auto"/>
        <w:jc w:val="both"/>
      </w:pPr>
    </w:p>
    <w:p w14:paraId="6DBC98D7" w14:textId="24BCCF5B" w:rsidR="004C2696" w:rsidRDefault="00CE4025" w:rsidP="00204CF0">
      <w:pPr>
        <w:spacing w:after="0" w:line="240" w:lineRule="auto"/>
        <w:jc w:val="both"/>
      </w:pPr>
      <w:r>
        <w:rPr>
          <w:i/>
        </w:rPr>
        <w:t>P</w:t>
      </w:r>
      <w:r w:rsidR="00F90B17" w:rsidRPr="00466A4D">
        <w:rPr>
          <w:i/>
        </w:rPr>
        <w:t>hysically, socially, and emotionally safe environments for students.</w:t>
      </w:r>
      <w:r w:rsidR="00F90B17" w:rsidRPr="00F90B17">
        <w:t xml:space="preserve"> </w:t>
      </w:r>
      <w:r w:rsidR="00466A4D">
        <w:t>The</w:t>
      </w:r>
      <w:r w:rsidR="002F3830">
        <w:t xml:space="preserve"> </w:t>
      </w:r>
      <w:r w:rsidR="00F90B17" w:rsidRPr="00F90B17">
        <w:t xml:space="preserve">concentration of </w:t>
      </w:r>
      <w:r w:rsidR="00466A4D">
        <w:t>high-need</w:t>
      </w:r>
      <w:r w:rsidR="00F90B17" w:rsidRPr="00F90B17">
        <w:t xml:space="preserve"> students in laboratory schools means that </w:t>
      </w:r>
      <w:r w:rsidR="0056654F" w:rsidRPr="00F90B17">
        <w:t>school staff face</w:t>
      </w:r>
      <w:r w:rsidR="004C2696">
        <w:t xml:space="preserve"> an</w:t>
      </w:r>
      <w:r w:rsidR="0056654F" w:rsidRPr="00F90B17">
        <w:t xml:space="preserve"> intensified demand to meet </w:t>
      </w:r>
      <w:r w:rsidR="005D2DCC" w:rsidRPr="00F90B17">
        <w:t>student needs associated with poverty</w:t>
      </w:r>
      <w:r w:rsidR="004C2696">
        <w:t xml:space="preserve">. These needs include high mobility, exposure to adverse childhood experiences and other trauma, limited support networks/safety nets, lack of access to transportation, food insecurity, and unstable housing. </w:t>
      </w:r>
      <w:r w:rsidR="00F90B17" w:rsidRPr="00F90B17">
        <w:t xml:space="preserve">Laboratory school models </w:t>
      </w:r>
      <w:r w:rsidR="004C2696">
        <w:t>recognize the out-of-</w:t>
      </w:r>
      <w:r w:rsidR="00466A4D">
        <w:t xml:space="preserve">school challenges that impede learning </w:t>
      </w:r>
      <w:r w:rsidR="004C2696">
        <w:t xml:space="preserve">and in response, aim to address many of these issues with a focus on the “whole child.” </w:t>
      </w:r>
      <w:r w:rsidR="00466A4D">
        <w:t xml:space="preserve">Laboratory schools employ staff and/or engage institution and community partners to provide health, social work, and counseling services, and address basic subsistence needs of students and families (e.g., provide food on weekends and winter clothing). </w:t>
      </w:r>
      <w:r w:rsidR="00D55C09">
        <w:t xml:space="preserve">They educate staff </w:t>
      </w:r>
      <w:r w:rsidR="004C2696">
        <w:t>on the effects of trauma and adverse childhood experiences and they emphasize community and relationship building among students and staff through positive behavioral interventions and supports (PBIS) and restorative justice practices.</w:t>
      </w:r>
    </w:p>
    <w:p w14:paraId="7A6BA388" w14:textId="7E188981" w:rsidR="00D65DB8" w:rsidRDefault="00D65DB8" w:rsidP="00204CF0">
      <w:pPr>
        <w:spacing w:after="0" w:line="240" w:lineRule="auto"/>
        <w:jc w:val="both"/>
      </w:pPr>
    </w:p>
    <w:p w14:paraId="1FD3DE92" w14:textId="3698C959" w:rsidR="000518E7" w:rsidRDefault="00D65DB8" w:rsidP="009F72EE">
      <w:pPr>
        <w:spacing w:after="0" w:line="240" w:lineRule="auto"/>
        <w:jc w:val="both"/>
      </w:pPr>
      <w:r>
        <w:t>In the 2019-20 school year, laboratory schools continu</w:t>
      </w:r>
      <w:r w:rsidR="008521E6">
        <w:t>ed</w:t>
      </w:r>
      <w:r w:rsidR="009F72EE">
        <w:t xml:space="preserve"> efforts to create physically safe environments for students. Several laboratory schools improved their facilities to add space or increase functionality. For example, ECU installed an eight</w:t>
      </w:r>
      <w:r w:rsidR="00FA7898">
        <w:t>-</w:t>
      </w:r>
      <w:r w:rsidR="009F72EE">
        <w:t xml:space="preserve">classroom modular unit to its campus. WCU partnered with its co-located district school to renovate a multi-purpose space that both schools will use. UNCW worked with its host district to install a playground structure and replace a kiln on the laboratory school campus. </w:t>
      </w:r>
    </w:p>
    <w:p w14:paraId="1380CB70" w14:textId="4F093DC9" w:rsidR="009F72EE" w:rsidRDefault="009F72EE" w:rsidP="009F72EE">
      <w:pPr>
        <w:spacing w:after="0" w:line="240" w:lineRule="auto"/>
        <w:jc w:val="both"/>
      </w:pPr>
    </w:p>
    <w:p w14:paraId="0E764A9F" w14:textId="7486F3B0" w:rsidR="00D21A9B" w:rsidRDefault="00C9194B" w:rsidP="00204CF0">
      <w:pPr>
        <w:spacing w:after="0" w:line="240" w:lineRule="auto"/>
        <w:jc w:val="both"/>
      </w:pPr>
      <w:r>
        <w:t xml:space="preserve">Laboratory schools also worked to refine </w:t>
      </w:r>
      <w:r w:rsidR="008521E6">
        <w:t xml:space="preserve">systems </w:t>
      </w:r>
      <w:r>
        <w:t xml:space="preserve">and practices focused on </w:t>
      </w:r>
      <w:r w:rsidR="00FD7774">
        <w:t>creating socially and emotionally safe environments for students</w:t>
      </w:r>
      <w:r w:rsidR="000518E7">
        <w:t xml:space="preserve">. In 2019-20, </w:t>
      </w:r>
      <w:r w:rsidR="008521E6">
        <w:t>laboratory</w:t>
      </w:r>
      <w:r w:rsidR="000518E7">
        <w:t xml:space="preserve"> schools </w:t>
      </w:r>
      <w:r w:rsidR="001F6976">
        <w:t xml:space="preserve">used either or both PBIS and restorative practices to support behavior management and positive school culture. To integrate approaches for addressing academic and behavioral interventions, </w:t>
      </w:r>
      <w:r w:rsidR="00701114">
        <w:t>the Academy at Middle Fork (Appalachian State)</w:t>
      </w:r>
      <w:r w:rsidR="001F6976">
        <w:t>, D.C. Virgo Preparatory Academy (UNCW), and The Catamount School (WCU) worked to incorporate their PBIS system into a broader, multi-tiered system of supports (MTSS) framework. The ECU Community School also enhanced its Integrated Health Collaborative (IHC), one of its primary structures for supporting student health and safety. Two new full-time positions, including a director and school counselor, expand the IHC team’s capacity to coordinate and provide direct services to students and supports for instructional staff in implementing PBIS.</w:t>
      </w:r>
    </w:p>
    <w:p w14:paraId="68CA1909" w14:textId="77777777" w:rsidR="000B1EE4" w:rsidRDefault="000B1EE4" w:rsidP="00204CF0">
      <w:pPr>
        <w:spacing w:after="0" w:line="240" w:lineRule="auto"/>
        <w:jc w:val="both"/>
        <w:rPr>
          <w:i/>
        </w:rPr>
      </w:pPr>
    </w:p>
    <w:p w14:paraId="75F7A49F" w14:textId="1146EBA0" w:rsidR="004F6EB3" w:rsidRDefault="00446449" w:rsidP="00204CF0">
      <w:pPr>
        <w:spacing w:after="0" w:line="240" w:lineRule="auto"/>
        <w:jc w:val="both"/>
      </w:pPr>
      <w:r>
        <w:rPr>
          <w:i/>
        </w:rPr>
        <w:t>Balanced curriculum and enrichment activities</w:t>
      </w:r>
      <w:r w:rsidR="00CE4025" w:rsidRPr="00446449">
        <w:rPr>
          <w:i/>
        </w:rPr>
        <w:t>.</w:t>
      </w:r>
      <w:r w:rsidR="00CE4025">
        <w:t xml:space="preserve"> </w:t>
      </w:r>
      <w:r w:rsidR="00105D9A">
        <w:t>L</w:t>
      </w:r>
      <w:r w:rsidR="004C2696">
        <w:t>aboratory schools ensure that students are exposed to academic instruction in all content areas—reading/language arts, math, science, and social studies—</w:t>
      </w:r>
      <w:r w:rsidR="004C2696">
        <w:lastRenderedPageBreak/>
        <w:t>rather than</w:t>
      </w:r>
      <w:r w:rsidR="004F6EB3">
        <w:t xml:space="preserve"> a primary focus on just reading and math. </w:t>
      </w:r>
      <w:r w:rsidR="00227071">
        <w:t>Laboratory schools also emphasize experiential</w:t>
      </w:r>
      <w:r w:rsidR="00601C31">
        <w:t xml:space="preserve"> and/or inquiry-based</w:t>
      </w:r>
      <w:r w:rsidR="00227071">
        <w:t xml:space="preserve"> learnin</w:t>
      </w:r>
      <w:r w:rsidR="00422355">
        <w:t>g</w:t>
      </w:r>
      <w:r w:rsidR="00601C31">
        <w:t>, particularly related to STEM subjects,</w:t>
      </w:r>
      <w:r w:rsidR="00422355">
        <w:t xml:space="preserve"> in which students </w:t>
      </w:r>
      <w:r w:rsidR="00980544">
        <w:t>have “hands on” engagement</w:t>
      </w:r>
      <w:r w:rsidR="00376305">
        <w:t xml:space="preserve"> </w:t>
      </w:r>
      <w:r w:rsidR="00601C31">
        <w:t xml:space="preserve">through science labs or maker spaces. </w:t>
      </w:r>
      <w:r w:rsidR="00DF5FA4">
        <w:t>Further</w:t>
      </w:r>
      <w:r w:rsidR="00983044">
        <w:t xml:space="preserve">, </w:t>
      </w:r>
      <w:r w:rsidR="00DF5FA4">
        <w:t xml:space="preserve">laboratory schools prioritize </w:t>
      </w:r>
      <w:r w:rsidR="004F6EB3">
        <w:t>e</w:t>
      </w:r>
      <w:r w:rsidR="009F700D">
        <w:t>nrichment activities</w:t>
      </w:r>
      <w:r w:rsidR="004F6EB3">
        <w:t xml:space="preserve"> that supplement learning and offer students alternative educational opportunities that they may not otherwise be able to access. </w:t>
      </w:r>
      <w:r w:rsidR="00DF5FA4">
        <w:t xml:space="preserve">Leveraging </w:t>
      </w:r>
      <w:r w:rsidR="004F6EB3">
        <w:t>community partnerships and university facilities/events, laboratory schools have infused arts, history, and recreation into daily schedules and have exposed students to new experiences, ideas, and places.</w:t>
      </w:r>
    </w:p>
    <w:p w14:paraId="0C257C40" w14:textId="151C5588" w:rsidR="00D21A9B" w:rsidRDefault="00D21A9B" w:rsidP="00204CF0">
      <w:pPr>
        <w:spacing w:after="0" w:line="240" w:lineRule="auto"/>
        <w:jc w:val="both"/>
      </w:pPr>
    </w:p>
    <w:p w14:paraId="2A3D6F96" w14:textId="22925631" w:rsidR="00F85799" w:rsidRDefault="009F700D" w:rsidP="00F85799">
      <w:pPr>
        <w:spacing w:after="0" w:line="240" w:lineRule="auto"/>
        <w:jc w:val="both"/>
      </w:pPr>
      <w:r w:rsidRPr="00D768C7">
        <w:rPr>
          <w:i/>
        </w:rPr>
        <w:t>Focus on literacy.</w:t>
      </w:r>
      <w:r w:rsidRPr="00D768C7">
        <w:t xml:space="preserve"> </w:t>
      </w:r>
      <w:r w:rsidR="00E4119B" w:rsidRPr="00D768C7">
        <w:t xml:space="preserve">Laboratory schools are particularly focused on improving teaching and learning related to literacy. </w:t>
      </w:r>
      <w:r w:rsidR="00D30226">
        <w:t xml:space="preserve">In 2019-20, they continued to hone </w:t>
      </w:r>
      <w:r w:rsidR="00230AD2">
        <w:t>literacy supports for students and</w:t>
      </w:r>
      <w:r w:rsidR="00D30226">
        <w:t xml:space="preserve"> </w:t>
      </w:r>
      <w:r w:rsidR="00230AD2">
        <w:t>teachers</w:t>
      </w:r>
      <w:r w:rsidR="00845198">
        <w:t>. F</w:t>
      </w:r>
      <w:r w:rsidR="003C48CB">
        <w:t xml:space="preserve">or example, </w:t>
      </w:r>
      <w:r w:rsidR="00845198">
        <w:t xml:space="preserve">the </w:t>
      </w:r>
      <w:r w:rsidR="00497641">
        <w:t xml:space="preserve">ECU </w:t>
      </w:r>
      <w:r w:rsidR="003C48CB">
        <w:t xml:space="preserve">Community School is developing </w:t>
      </w:r>
      <w:r w:rsidR="00497641">
        <w:t>a multi</w:t>
      </w:r>
      <w:r w:rsidR="003C48CB">
        <w:t>-</w:t>
      </w:r>
      <w:r w:rsidR="00497641">
        <w:t xml:space="preserve">year plan to </w:t>
      </w:r>
      <w:r w:rsidR="00F85799">
        <w:t xml:space="preserve">train all staff on </w:t>
      </w:r>
      <w:r w:rsidR="00497641">
        <w:t>evidence-based reading instruction</w:t>
      </w:r>
      <w:r w:rsidR="00121967">
        <w:t>. Likewise,</w:t>
      </w:r>
      <w:r w:rsidR="00F85799">
        <w:t xml:space="preserve"> </w:t>
      </w:r>
      <w:r w:rsidR="00845198">
        <w:t xml:space="preserve">the </w:t>
      </w:r>
      <w:r w:rsidR="00497641">
        <w:t>M</w:t>
      </w:r>
      <w:r w:rsidR="00F85799">
        <w:t xml:space="preserve">oss Street Partnership </w:t>
      </w:r>
      <w:r w:rsidR="00AE031A">
        <w:t xml:space="preserve">School’s </w:t>
      </w:r>
      <w:r w:rsidR="00497641">
        <w:t xml:space="preserve">K-5 teachers worked with </w:t>
      </w:r>
      <w:r w:rsidR="00F85799">
        <w:t xml:space="preserve">the school’s curriculum director </w:t>
      </w:r>
      <w:r w:rsidR="00497641">
        <w:t>to develop a comprehensive</w:t>
      </w:r>
      <w:r w:rsidR="007841F0">
        <w:t xml:space="preserve"> literacy</w:t>
      </w:r>
      <w:r w:rsidR="00497641">
        <w:t xml:space="preserve"> framework based on</w:t>
      </w:r>
      <w:r w:rsidR="00845198">
        <w:t xml:space="preserve"> the</w:t>
      </w:r>
      <w:r w:rsidR="00497641">
        <w:t xml:space="preserve"> essential components of literacy instruction</w:t>
      </w:r>
      <w:r w:rsidR="00F85799">
        <w:t xml:space="preserve">. </w:t>
      </w:r>
    </w:p>
    <w:p w14:paraId="645829A2" w14:textId="77777777" w:rsidR="00F85799" w:rsidRDefault="00F85799" w:rsidP="00F85799">
      <w:pPr>
        <w:spacing w:after="0" w:line="240" w:lineRule="auto"/>
        <w:jc w:val="both"/>
      </w:pPr>
    </w:p>
    <w:p w14:paraId="38FCA6CB" w14:textId="7960FBAF" w:rsidR="00701114" w:rsidRDefault="007841F0" w:rsidP="00204CF0">
      <w:pPr>
        <w:spacing w:after="0" w:line="240" w:lineRule="auto"/>
        <w:jc w:val="both"/>
      </w:pPr>
      <w:r>
        <w:t xml:space="preserve">In 2019-20, </w:t>
      </w:r>
      <w:r w:rsidR="00E30A26">
        <w:t xml:space="preserve">COEs continued to support literacy instruction at laboratory schools through graduate program offerings. </w:t>
      </w:r>
      <w:r w:rsidR="00F85799">
        <w:t xml:space="preserve">UNCG’s COE </w:t>
      </w:r>
      <w:r w:rsidR="00497641">
        <w:t>created a</w:t>
      </w:r>
      <w:r w:rsidR="00F85799">
        <w:t>n</w:t>
      </w:r>
      <w:r w:rsidR="00497641">
        <w:t xml:space="preserve"> M.Ed. program cohort in literacy education </w:t>
      </w:r>
      <w:r w:rsidR="00AE031A">
        <w:t xml:space="preserve">with </w:t>
      </w:r>
      <w:r w:rsidR="00497641">
        <w:t>course</w:t>
      </w:r>
      <w:r w:rsidR="00276883">
        <w:t>s</w:t>
      </w:r>
      <w:r w:rsidR="00497641">
        <w:t xml:space="preserve"> </w:t>
      </w:r>
      <w:r>
        <w:t>offered</w:t>
      </w:r>
      <w:r w:rsidR="00276883">
        <w:t xml:space="preserve"> </w:t>
      </w:r>
      <w:r w:rsidR="00497641">
        <w:t xml:space="preserve">onsite at the laboratory school </w:t>
      </w:r>
      <w:r>
        <w:t xml:space="preserve">and taught by COE faculty working with laboratory </w:t>
      </w:r>
      <w:proofErr w:type="gramStart"/>
      <w:r>
        <w:t>school teachers</w:t>
      </w:r>
      <w:proofErr w:type="gramEnd"/>
      <w:r>
        <w:t xml:space="preserve"> on literacy instruction. </w:t>
      </w:r>
      <w:r w:rsidR="00701114">
        <w:t xml:space="preserve">ECU Community School, Academy at Middle Fork (Appalachian State), and Moss Street Partnership School (UNCG) teachers are enrolled in or planning to enroll in their partner COE </w:t>
      </w:r>
      <w:proofErr w:type="gramStart"/>
      <w:r w:rsidR="00701114">
        <w:t>Masters of Education</w:t>
      </w:r>
      <w:proofErr w:type="gramEnd"/>
      <w:r w:rsidR="00701114">
        <w:t xml:space="preserve"> literacy programs. COE faculty also support laboratory school efforts to enhance literacy instruction. For example, an ECU COE faculty member is integrally involved with the ECU Community School’s work to develop a school-wide literacy plan; UNCW faculty, including the COE librarian, collaborate with D.C. Virgo Preparatory Academy staff to support implementation of literacy interventions and programs.</w:t>
      </w:r>
    </w:p>
    <w:p w14:paraId="04FFF36D" w14:textId="77777777" w:rsidR="00701114" w:rsidRDefault="00701114" w:rsidP="00204CF0">
      <w:pPr>
        <w:spacing w:after="0" w:line="240" w:lineRule="auto"/>
        <w:jc w:val="both"/>
      </w:pPr>
    </w:p>
    <w:p w14:paraId="572034A2" w14:textId="47EFE78F" w:rsidR="0093356C" w:rsidRDefault="008027CE" w:rsidP="0093356C">
      <w:pPr>
        <w:spacing w:after="0" w:line="240" w:lineRule="auto"/>
        <w:jc w:val="both"/>
      </w:pPr>
      <w:r>
        <w:rPr>
          <w:i/>
        </w:rPr>
        <w:t>Licensed and experienced teachers</w:t>
      </w:r>
      <w:r w:rsidR="00697DDB">
        <w:rPr>
          <w:i/>
        </w:rPr>
        <w:t>.</w:t>
      </w:r>
      <w:r w:rsidR="00CE4025" w:rsidRPr="000834CC">
        <w:t xml:space="preserve"> </w:t>
      </w:r>
      <w:r w:rsidR="00BF3C03">
        <w:t>Laboratory schools continue to emphasize hiring and retaining licensed and experienced teachers</w:t>
      </w:r>
      <w:r w:rsidR="00FA7898">
        <w:t xml:space="preserve">. </w:t>
      </w:r>
      <w:r w:rsidR="00BF3C03">
        <w:t xml:space="preserve">However, some laboratory schools </w:t>
      </w:r>
      <w:r w:rsidR="00001B93">
        <w:t xml:space="preserve">(ECU, UNCG, UNCW, WCU) </w:t>
      </w:r>
      <w:r w:rsidR="00BF3C03">
        <w:t xml:space="preserve">that experienced staff turnover </w:t>
      </w:r>
      <w:r w:rsidR="00FA7898">
        <w:t xml:space="preserve">before the start of the 2019-20 school year </w:t>
      </w:r>
      <w:r w:rsidR="00BF3C03">
        <w:t xml:space="preserve">hired </w:t>
      </w:r>
      <w:r w:rsidR="00DE3DEB">
        <w:t>beginning teachers (</w:t>
      </w:r>
      <w:r w:rsidR="00AC1865">
        <w:t>those in their 1</w:t>
      </w:r>
      <w:r w:rsidR="00AC1865" w:rsidRPr="00AC1865">
        <w:rPr>
          <w:vertAlign w:val="superscript"/>
        </w:rPr>
        <w:t>st</w:t>
      </w:r>
      <w:r w:rsidR="00AC1865">
        <w:t>, 2</w:t>
      </w:r>
      <w:r w:rsidR="00AC1865" w:rsidRPr="00AC1865">
        <w:rPr>
          <w:vertAlign w:val="superscript"/>
        </w:rPr>
        <w:t>nd</w:t>
      </w:r>
      <w:r w:rsidR="00AC1865">
        <w:t>, or 3</w:t>
      </w:r>
      <w:r w:rsidR="00AC1865" w:rsidRPr="00AC1865">
        <w:rPr>
          <w:vertAlign w:val="superscript"/>
        </w:rPr>
        <w:t>rd</w:t>
      </w:r>
      <w:r w:rsidR="00AC1865">
        <w:t xml:space="preserve"> year of teaching). </w:t>
      </w:r>
      <w:r w:rsidR="00FA7898">
        <w:t xml:space="preserve">In doing so, laboratory schools </w:t>
      </w:r>
      <w:r w:rsidR="00276883">
        <w:t xml:space="preserve">sought </w:t>
      </w:r>
      <w:r w:rsidR="00AC1865">
        <w:t>teacher</w:t>
      </w:r>
      <w:r w:rsidR="00FA7898">
        <w:t xml:space="preserve">s </w:t>
      </w:r>
      <w:r w:rsidR="00276883">
        <w:t>whose interests, background, or teaching strengths align with</w:t>
      </w:r>
      <w:r w:rsidR="00FA7898">
        <w:t xml:space="preserve"> the laboratory school mission, model, and </w:t>
      </w:r>
      <w:r w:rsidR="0093356C">
        <w:t xml:space="preserve">student population. Some </w:t>
      </w:r>
      <w:r w:rsidR="00AC1865">
        <w:t xml:space="preserve">laboratory schools </w:t>
      </w:r>
      <w:r w:rsidR="0093356C">
        <w:t xml:space="preserve">were able to hire graduates of the COE program who had served internships or had other clinical experiences at the laboratory school as </w:t>
      </w:r>
      <w:r w:rsidR="003D2FB7">
        <w:t>pre-service</w:t>
      </w:r>
      <w:r w:rsidR="0093356C">
        <w:t xml:space="preserve"> candidates. </w:t>
      </w:r>
    </w:p>
    <w:p w14:paraId="7849C6DA" w14:textId="77777777" w:rsidR="0093356C" w:rsidRDefault="0093356C" w:rsidP="0093356C">
      <w:pPr>
        <w:spacing w:after="0" w:line="240" w:lineRule="auto"/>
        <w:jc w:val="both"/>
      </w:pPr>
    </w:p>
    <w:p w14:paraId="75B4A06A" w14:textId="2F8AA8F2" w:rsidR="00AC1865" w:rsidRDefault="0093356C" w:rsidP="00204CF0">
      <w:pPr>
        <w:spacing w:after="0" w:line="240" w:lineRule="auto"/>
        <w:jc w:val="both"/>
      </w:pPr>
      <w:r>
        <w:t>The laboratory schools that hired beginning teachers provided them various supports</w:t>
      </w:r>
      <w:r w:rsidR="00B66493">
        <w:t>,</w:t>
      </w:r>
      <w:r>
        <w:t xml:space="preserve"> including the statewide </w:t>
      </w:r>
      <w:r w:rsidR="00F46142">
        <w:t xml:space="preserve">NC New Teacher Support </w:t>
      </w:r>
      <w:r w:rsidR="00E92271">
        <w:t>P</w:t>
      </w:r>
      <w:r w:rsidR="00F46142">
        <w:t>rogram</w:t>
      </w:r>
      <w:r w:rsidR="00AC1865">
        <w:t>,</w:t>
      </w:r>
      <w:r w:rsidR="00F46142">
        <w:t xml:space="preserve"> </w:t>
      </w:r>
      <w:r>
        <w:t xml:space="preserve">which </w:t>
      </w:r>
      <w:r w:rsidR="00F46142">
        <w:t>provides one</w:t>
      </w:r>
      <w:r>
        <w:t>-o</w:t>
      </w:r>
      <w:r w:rsidR="00F46142">
        <w:t>n</w:t>
      </w:r>
      <w:r>
        <w:t>-</w:t>
      </w:r>
      <w:r w:rsidR="00F46142">
        <w:t>one instructional coaching</w:t>
      </w:r>
      <w:r>
        <w:t xml:space="preserve"> through a mentor</w:t>
      </w:r>
      <w:r w:rsidR="00AC1865">
        <w:t>,</w:t>
      </w:r>
      <w:r>
        <w:t xml:space="preserve"> or their COE’s own support program</w:t>
      </w:r>
      <w:r w:rsidR="00AC1865">
        <w:t xml:space="preserve">. For example, UNCW’s First Years of Teaching Support Program provides three days of professional development on self-selected topics and is offered in collaboration with other teachers in the southeast region of the state. </w:t>
      </w:r>
      <w:r w:rsidR="004637EA">
        <w:t>Though school leaders reported satisfaction with their beginning teachers</w:t>
      </w:r>
      <w:r w:rsidR="00FD1D51">
        <w:t>,</w:t>
      </w:r>
      <w:r w:rsidR="004637EA">
        <w:t xml:space="preserve"> they did acknowledge </w:t>
      </w:r>
      <w:r w:rsidR="00001B93">
        <w:t xml:space="preserve">that </w:t>
      </w:r>
      <w:r w:rsidR="004637EA">
        <w:t xml:space="preserve">employing </w:t>
      </w:r>
      <w:r w:rsidR="00276883">
        <w:t>them</w:t>
      </w:r>
      <w:r w:rsidR="004637EA">
        <w:t xml:space="preserve"> </w:t>
      </w:r>
      <w:r w:rsidR="00001B93">
        <w:t>reduce</w:t>
      </w:r>
      <w:r w:rsidR="004637EA">
        <w:t>d</w:t>
      </w:r>
      <w:r w:rsidR="00001B93">
        <w:t xml:space="preserve"> the number of classrooms available for </w:t>
      </w:r>
      <w:r w:rsidR="003D2FB7">
        <w:t>pre-service</w:t>
      </w:r>
      <w:r w:rsidR="00001B93">
        <w:t xml:space="preserve"> candidates to have clinical experiences</w:t>
      </w:r>
      <w:r w:rsidR="00AC1865">
        <w:t>—given experience requirements for clinical/cooperating teachers and the desire to allow new teachers the time and opportunity to adapt to teaching in the laboratory school and addressing the needs of their students.</w:t>
      </w:r>
    </w:p>
    <w:p w14:paraId="44D33CA9" w14:textId="77777777" w:rsidR="00AC1865" w:rsidRDefault="00AC1865" w:rsidP="00AC1865">
      <w:pPr>
        <w:spacing w:after="0" w:line="240" w:lineRule="auto"/>
        <w:rPr>
          <w:i/>
        </w:rPr>
      </w:pPr>
    </w:p>
    <w:p w14:paraId="28EB3D0E" w14:textId="584CC8EF" w:rsidR="003A23F3" w:rsidRPr="00E74F1D" w:rsidRDefault="003A23F3" w:rsidP="00AC1865">
      <w:pPr>
        <w:spacing w:after="0" w:line="240" w:lineRule="auto"/>
        <w:rPr>
          <w:i/>
        </w:rPr>
      </w:pPr>
      <w:r w:rsidRPr="00E74F1D">
        <w:rPr>
          <w:i/>
        </w:rPr>
        <w:t>School management</w:t>
      </w:r>
    </w:p>
    <w:p w14:paraId="61332236" w14:textId="77777777" w:rsidR="00AC1865" w:rsidRDefault="00AC1865" w:rsidP="00F3074A">
      <w:pPr>
        <w:spacing w:after="0" w:line="240" w:lineRule="auto"/>
        <w:jc w:val="both"/>
      </w:pPr>
    </w:p>
    <w:p w14:paraId="116A0A87" w14:textId="76CAE7FF" w:rsidR="00333CD4" w:rsidRDefault="00961237" w:rsidP="00F3074A">
      <w:pPr>
        <w:spacing w:after="0" w:line="240" w:lineRule="auto"/>
        <w:jc w:val="both"/>
      </w:pPr>
      <w:r>
        <w:t xml:space="preserve">Laboratory school management </w:t>
      </w:r>
      <w:r w:rsidR="00333CD4">
        <w:t xml:space="preserve">reflects the university context in which they operate. </w:t>
      </w:r>
      <w:r w:rsidR="00F86E2B">
        <w:t xml:space="preserve">Relative to traditional district settings, laboratory school leadership is less </w:t>
      </w:r>
      <w:proofErr w:type="gramStart"/>
      <w:r w:rsidR="00F86E2B">
        <w:t>hierarchical</w:t>
      </w:r>
      <w:proofErr w:type="gramEnd"/>
      <w:r w:rsidR="00F86E2B">
        <w:t xml:space="preserve"> and teachers exercise more </w:t>
      </w:r>
      <w:r w:rsidR="00F86E2B">
        <w:lastRenderedPageBreak/>
        <w:t xml:space="preserve">autonomy. </w:t>
      </w:r>
      <w:r w:rsidR="00761379">
        <w:t xml:space="preserve">Laboratory schools are managed as an extension of the COEs that have designed and overseen their implementation. </w:t>
      </w:r>
      <w:r w:rsidR="00333CD4">
        <w:t xml:space="preserve"> </w:t>
      </w:r>
    </w:p>
    <w:p w14:paraId="30F5FFA8" w14:textId="77777777" w:rsidR="00F3074A" w:rsidRDefault="00F3074A" w:rsidP="00F3074A">
      <w:pPr>
        <w:spacing w:after="0" w:line="240" w:lineRule="auto"/>
        <w:jc w:val="both"/>
      </w:pPr>
    </w:p>
    <w:p w14:paraId="3EA9BB7B" w14:textId="702E6465" w:rsidR="00C72BCE" w:rsidRDefault="000A56FD" w:rsidP="00494493">
      <w:pPr>
        <w:spacing w:after="0" w:line="240" w:lineRule="auto"/>
        <w:jc w:val="both"/>
      </w:pPr>
      <w:r w:rsidRPr="000A56FD">
        <w:rPr>
          <w:i/>
        </w:rPr>
        <w:t>Laboratory school leadership.</w:t>
      </w:r>
      <w:r>
        <w:t xml:space="preserve"> </w:t>
      </w:r>
      <w:r w:rsidR="00773316">
        <w:t>Laboratory school l</w:t>
      </w:r>
      <w:r w:rsidR="007F7D39">
        <w:t xml:space="preserve">eadership teams </w:t>
      </w:r>
      <w:r w:rsidR="00773316">
        <w:t>include a</w:t>
      </w:r>
      <w:r w:rsidR="007F7D39">
        <w:t xml:space="preserve"> site-based principal</w:t>
      </w:r>
      <w:r w:rsidR="00C72BCE">
        <w:t>,</w:t>
      </w:r>
      <w:r w:rsidR="007F7D39">
        <w:t xml:space="preserve"> who works with </w:t>
      </w:r>
      <w:r w:rsidR="00773316">
        <w:t xml:space="preserve">the </w:t>
      </w:r>
      <w:r w:rsidR="007F7D39">
        <w:t xml:space="preserve">COE </w:t>
      </w:r>
      <w:r w:rsidR="00773316">
        <w:t>dean or designee</w:t>
      </w:r>
      <w:r w:rsidR="00C72BCE">
        <w:t>,</w:t>
      </w:r>
      <w:r w:rsidR="00773316">
        <w:t xml:space="preserve"> and</w:t>
      </w:r>
      <w:r w:rsidR="00E51F01">
        <w:t xml:space="preserve"> an instructional or curriculum director</w:t>
      </w:r>
      <w:r w:rsidR="00C72BCE">
        <w:t>,</w:t>
      </w:r>
      <w:r w:rsidR="00E51F01">
        <w:t xml:space="preserve"> </w:t>
      </w:r>
      <w:r w:rsidR="00773316">
        <w:t xml:space="preserve">who is </w:t>
      </w:r>
      <w:r w:rsidR="00E51F01">
        <w:t>associated with the COE but based at the laboratory school</w:t>
      </w:r>
      <w:r w:rsidR="00773316">
        <w:t xml:space="preserve">. </w:t>
      </w:r>
      <w:r w:rsidR="00494493">
        <w:t>Within these leadership teams, the p</w:t>
      </w:r>
      <w:r w:rsidR="00E51F01">
        <w:t>rincipal manages staff, parent, and student interactions</w:t>
      </w:r>
      <w:r w:rsidR="00E30A26">
        <w:t xml:space="preserve"> and</w:t>
      </w:r>
      <w:r w:rsidR="00E51F01">
        <w:t xml:space="preserve"> concerns</w:t>
      </w:r>
      <w:r w:rsidR="00494493">
        <w:t xml:space="preserve">. The </w:t>
      </w:r>
      <w:r w:rsidR="00E51F01">
        <w:t xml:space="preserve">COE </w:t>
      </w:r>
      <w:r w:rsidR="007C267E">
        <w:t>lead generally provides day-to-day oversight of lab</w:t>
      </w:r>
      <w:r w:rsidR="005C7749">
        <w:t>oratory</w:t>
      </w:r>
      <w:r w:rsidR="007C267E">
        <w:t xml:space="preserve"> school administration </w:t>
      </w:r>
      <w:r w:rsidR="005C7749">
        <w:t xml:space="preserve">and </w:t>
      </w:r>
      <w:r w:rsidR="007C267E">
        <w:t>strategic</w:t>
      </w:r>
      <w:r w:rsidR="005C7749">
        <w:t xml:space="preserve"> </w:t>
      </w:r>
      <w:r w:rsidR="007C267E">
        <w:t>and policy management</w:t>
      </w:r>
      <w:r w:rsidR="00494493">
        <w:t>. The i</w:t>
      </w:r>
      <w:r w:rsidR="008C626D">
        <w:t>nstructional</w:t>
      </w:r>
      <w:r w:rsidR="005C7749">
        <w:t xml:space="preserve"> or </w:t>
      </w:r>
      <w:r w:rsidR="008C626D">
        <w:t xml:space="preserve">curriculum director works with laboratory </w:t>
      </w:r>
      <w:proofErr w:type="gramStart"/>
      <w:r w:rsidR="008C626D">
        <w:t>school</w:t>
      </w:r>
      <w:r w:rsidR="00C72BCE">
        <w:t xml:space="preserve"> </w:t>
      </w:r>
      <w:r w:rsidR="008C626D">
        <w:t>teachers</w:t>
      </w:r>
      <w:proofErr w:type="gramEnd"/>
      <w:r w:rsidR="008C626D">
        <w:t xml:space="preserve"> to support curriculum planning</w:t>
      </w:r>
      <w:r w:rsidR="005C7749">
        <w:t xml:space="preserve">, </w:t>
      </w:r>
      <w:r w:rsidR="008C626D">
        <w:t>development</w:t>
      </w:r>
      <w:r w:rsidR="005C7749">
        <w:t>, and instruction</w:t>
      </w:r>
      <w:r w:rsidR="00494493">
        <w:t xml:space="preserve"> and</w:t>
      </w:r>
      <w:r w:rsidR="008C626D">
        <w:t xml:space="preserve"> serves as </w:t>
      </w:r>
      <w:r w:rsidR="00C72BCE">
        <w:t xml:space="preserve">a </w:t>
      </w:r>
      <w:r w:rsidR="008C626D">
        <w:t>liaison between COE faculty and lab school teachers</w:t>
      </w:r>
      <w:r w:rsidR="00494493">
        <w:t>.</w:t>
      </w:r>
      <w:r w:rsidR="00E30A26">
        <w:t xml:space="preserve"> The </w:t>
      </w:r>
      <w:r w:rsidR="001177E2">
        <w:t>governance structure of laboratory schools—schools within</w:t>
      </w:r>
      <w:r w:rsidR="00494493">
        <w:t xml:space="preserve"> university system</w:t>
      </w:r>
      <w:r w:rsidR="001177E2">
        <w:t>s</w:t>
      </w:r>
      <w:r w:rsidR="00494493">
        <w:t xml:space="preserve"> </w:t>
      </w:r>
      <w:r w:rsidR="001177E2">
        <w:t xml:space="preserve">that are </w:t>
      </w:r>
      <w:r w:rsidR="00494493">
        <w:t xml:space="preserve">operated </w:t>
      </w:r>
      <w:r w:rsidR="001177E2">
        <w:t>by</w:t>
      </w:r>
      <w:r w:rsidR="00494493">
        <w:t xml:space="preserve"> COE</w:t>
      </w:r>
      <w:r w:rsidR="001177E2">
        <w:t>s—</w:t>
      </w:r>
      <w:r w:rsidR="00494493">
        <w:t>means</w:t>
      </w:r>
      <w:r w:rsidR="001177E2">
        <w:t xml:space="preserve"> </w:t>
      </w:r>
      <w:r w:rsidR="00494493">
        <w:t>that both principal and COE lead</w:t>
      </w:r>
      <w:r w:rsidR="001177E2">
        <w:t>ers</w:t>
      </w:r>
      <w:r w:rsidR="00494493">
        <w:t xml:space="preserve"> may be interacting with other institution partners </w:t>
      </w:r>
      <w:r w:rsidR="001177E2">
        <w:t>regarding human resources</w:t>
      </w:r>
      <w:r w:rsidR="00494493">
        <w:t xml:space="preserve">, finance, operations, </w:t>
      </w:r>
      <w:r w:rsidR="005C7749">
        <w:t>and other administrative functions</w:t>
      </w:r>
      <w:r w:rsidR="00494493">
        <w:t>. UNCC’s laboratory school leadership team presents an exception to this model</w:t>
      </w:r>
      <w:r w:rsidR="00C72BCE">
        <w:t xml:space="preserve">, with the COE laboratory school coordinator also serving as the site-based principal. </w:t>
      </w:r>
    </w:p>
    <w:p w14:paraId="21AEDF49" w14:textId="77777777" w:rsidR="00C72BCE" w:rsidRDefault="00C72BCE" w:rsidP="00494493">
      <w:pPr>
        <w:spacing w:after="0" w:line="240" w:lineRule="auto"/>
        <w:jc w:val="both"/>
      </w:pPr>
    </w:p>
    <w:p w14:paraId="0D637C68" w14:textId="68495BF1" w:rsidR="006959A5" w:rsidRDefault="00036E50" w:rsidP="006959A5">
      <w:pPr>
        <w:spacing w:after="0" w:line="240" w:lineRule="auto"/>
        <w:jc w:val="both"/>
      </w:pPr>
      <w:r>
        <w:rPr>
          <w:i/>
        </w:rPr>
        <w:t xml:space="preserve">Laboratory school </w:t>
      </w:r>
      <w:r w:rsidR="000A56FD" w:rsidRPr="000A56FD">
        <w:rPr>
          <w:i/>
        </w:rPr>
        <w:t>staff.</w:t>
      </w:r>
      <w:r w:rsidR="000A56FD">
        <w:t xml:space="preserve"> </w:t>
      </w:r>
      <w:r w:rsidR="006959A5">
        <w:t>Laboratory schools generally have one full-time teacher per classroom and at least one class per grade level. Some laboratory schools also employ teacher assistants</w:t>
      </w:r>
      <w:r w:rsidR="00C72BCE">
        <w:t>, who are shared across multiple classrooms,</w:t>
      </w:r>
      <w:r w:rsidR="006959A5">
        <w:t xml:space="preserve"> for lower elementary grades. </w:t>
      </w:r>
      <w:r w:rsidR="00B601ED">
        <w:t xml:space="preserve">The </w:t>
      </w:r>
      <w:r w:rsidR="00C83221">
        <w:t>Catamount School (</w:t>
      </w:r>
      <w:r w:rsidR="006959A5">
        <w:t>WCU</w:t>
      </w:r>
      <w:r w:rsidR="00C83221">
        <w:t>)</w:t>
      </w:r>
      <w:r w:rsidR="006959A5">
        <w:t xml:space="preserve"> ha</w:t>
      </w:r>
      <w:r w:rsidR="00B601ED">
        <w:t>s</w:t>
      </w:r>
      <w:r w:rsidR="006959A5">
        <w:t xml:space="preserve"> one class per grade. </w:t>
      </w:r>
      <w:r w:rsidR="009B3339">
        <w:t xml:space="preserve">The </w:t>
      </w:r>
      <w:r w:rsidR="00C83221">
        <w:t xml:space="preserve">ECU Community School has two classes per grade in grades 1 and 2 and one class per grade in grades K, 3, 4, and 5. </w:t>
      </w:r>
      <w:r w:rsidR="009B3339">
        <w:t xml:space="preserve">The Academy at Middle Fork (Appalachian State) has two to three classes per grade. </w:t>
      </w:r>
      <w:r w:rsidR="006959A5">
        <w:t xml:space="preserve">UNCW has one class per grade in grades K-5 and two classes per grade in grades 6-8. UNCG has multiple classrooms per grade, which includes some multi-age classrooms in the lower grades (e.g., combined first and second grade). Three laboratory schools use departmentalized instruction: UNCG has core content teachers for grade five and UNCW for grades 6-8. WCU, the only laboratory school serving only middle grades, has core content teachers for grades 6-8.  </w:t>
      </w:r>
    </w:p>
    <w:p w14:paraId="3CA85508" w14:textId="77777777" w:rsidR="006959A5" w:rsidRDefault="006959A5" w:rsidP="006959A5">
      <w:pPr>
        <w:spacing w:after="0" w:line="240" w:lineRule="auto"/>
        <w:jc w:val="both"/>
      </w:pPr>
    </w:p>
    <w:p w14:paraId="20D2F70A" w14:textId="640042BD" w:rsidR="006959A5" w:rsidRDefault="006959A5" w:rsidP="006959A5">
      <w:pPr>
        <w:spacing w:after="0" w:line="240" w:lineRule="auto"/>
        <w:jc w:val="both"/>
      </w:pPr>
      <w:r>
        <w:t>All laboratory schools provide student supports including administrative, counseling, student health, social work, exceptional children, and behavior management services. Laboratory schools also provide extracurricular and enrichment activities, including arts, music, and physical education. The smallest laboratory schools, ECU and WCU, have the fewest number of full-time support staff employees and rely heavily on institution partners to provide supports. The laboratory schools operating whole schools (Appalachian State, UNCG, and UNCW) employ more support and extracurricular staff, such as school nurses, social workers, media specialists, and arts, music, physical education, and special education teachers. Appalachian State also employs teaching assistants for lower grade classrooms since it cannot rely on pre-service candidates to provide classroom support given the physical distance between the university campus and the laboratory school. Appalachian State</w:t>
      </w:r>
      <w:r w:rsidR="00C83221">
        <w:t>, UNCG,</w:t>
      </w:r>
      <w:r>
        <w:t xml:space="preserve"> and UNCW both employed assistant principals; ECU and WCU did not have assistant principals</w:t>
      </w:r>
      <w:r w:rsidR="00C72BCE">
        <w:t xml:space="preserve"> in 2019-20.</w:t>
      </w:r>
    </w:p>
    <w:p w14:paraId="7C245283" w14:textId="18228520" w:rsidR="00C72068" w:rsidRDefault="00C72068" w:rsidP="00F3074A">
      <w:pPr>
        <w:spacing w:after="0" w:line="240" w:lineRule="auto"/>
        <w:jc w:val="both"/>
      </w:pPr>
    </w:p>
    <w:p w14:paraId="7A909D60" w14:textId="78A65691" w:rsidR="00841DE6" w:rsidRDefault="00C72068" w:rsidP="00375655">
      <w:pPr>
        <w:spacing w:after="0" w:line="240" w:lineRule="auto"/>
        <w:jc w:val="both"/>
      </w:pPr>
      <w:r w:rsidRPr="00C72068">
        <w:rPr>
          <w:i/>
        </w:rPr>
        <w:t>Laboratory school funding.</w:t>
      </w:r>
      <w:r>
        <w:t xml:space="preserve"> Laboratory schools rely on four primary sources of school funding</w:t>
      </w:r>
      <w:r w:rsidR="00DB2734">
        <w:t xml:space="preserve">: </w:t>
      </w:r>
      <w:r w:rsidR="00841DE6">
        <w:t>ADM</w:t>
      </w:r>
      <w:r w:rsidR="00C04778">
        <w:t xml:space="preserve"> dollars</w:t>
      </w:r>
      <w:r w:rsidR="00DB2734">
        <w:t xml:space="preserve">, allocations from the </w:t>
      </w:r>
      <w:r w:rsidR="00C04778">
        <w:t>UNC System Office</w:t>
      </w:r>
      <w:r w:rsidR="00DB2734">
        <w:t xml:space="preserve">; support from their </w:t>
      </w:r>
      <w:r w:rsidR="00C04778">
        <w:t xml:space="preserve">UNC </w:t>
      </w:r>
      <w:r w:rsidR="00841DE6">
        <w:t>System institution</w:t>
      </w:r>
      <w:r w:rsidR="00DB2734">
        <w:t xml:space="preserve"> (typically, COE </w:t>
      </w:r>
      <w:r w:rsidR="00841DE6">
        <w:t>budgets or foundations</w:t>
      </w:r>
      <w:r w:rsidR="00DB2734">
        <w:t xml:space="preserve">); and </w:t>
      </w:r>
      <w:r w:rsidR="00841DE6">
        <w:t>Title I</w:t>
      </w:r>
      <w:r w:rsidR="00DB2734">
        <w:t xml:space="preserve"> funds. Each source is precarious: student enrollment, which drives ADM, has been lower than school targets; UNC System allocations come from </w:t>
      </w:r>
      <w:r w:rsidR="00FF6F94">
        <w:t xml:space="preserve">fixed, recurring funds to </w:t>
      </w:r>
      <w:r w:rsidR="00541F85">
        <w:t xml:space="preserve">support laboratory school implementation; </w:t>
      </w:r>
      <w:r w:rsidR="00D82AF2">
        <w:t xml:space="preserve">UNC </w:t>
      </w:r>
      <w:r w:rsidR="00841DE6">
        <w:t xml:space="preserve">System </w:t>
      </w:r>
      <w:r w:rsidR="00E92271">
        <w:t>i</w:t>
      </w:r>
      <w:r w:rsidR="00841DE6">
        <w:t xml:space="preserve">nstitutions </w:t>
      </w:r>
      <w:r w:rsidR="00541F85">
        <w:t xml:space="preserve">have supported start-up costs </w:t>
      </w:r>
      <w:r w:rsidR="002050A1">
        <w:t>from funding sources not intended to support laboratory school operation</w:t>
      </w:r>
      <w:r w:rsidR="00541F85">
        <w:t xml:space="preserve">; </w:t>
      </w:r>
      <w:r w:rsidR="00D82AF2">
        <w:t xml:space="preserve">and </w:t>
      </w:r>
      <w:r w:rsidR="00541F85">
        <w:t xml:space="preserve">laboratory schools require </w:t>
      </w:r>
      <w:r w:rsidR="00A16BB4">
        <w:t xml:space="preserve">the </w:t>
      </w:r>
      <w:r w:rsidR="00541F85">
        <w:t>capacity to access</w:t>
      </w:r>
      <w:r w:rsidR="00841DE6">
        <w:t xml:space="preserve"> Title I and other federal </w:t>
      </w:r>
      <w:r w:rsidR="00541F85">
        <w:t xml:space="preserve">K-12 </w:t>
      </w:r>
      <w:r w:rsidR="00D82AF2">
        <w:t>funds</w:t>
      </w:r>
      <w:r w:rsidR="00541F85">
        <w:t>.</w:t>
      </w:r>
    </w:p>
    <w:p w14:paraId="496A101B" w14:textId="77777777" w:rsidR="00F3074A" w:rsidRDefault="00F3074A" w:rsidP="00F3074A">
      <w:pPr>
        <w:spacing w:after="0" w:line="240" w:lineRule="auto"/>
        <w:jc w:val="both"/>
      </w:pPr>
    </w:p>
    <w:p w14:paraId="6F09D27F" w14:textId="6F57E759" w:rsidR="00C50CFD" w:rsidRDefault="00541F85" w:rsidP="00F3074A">
      <w:pPr>
        <w:spacing w:after="0" w:line="240" w:lineRule="auto"/>
        <w:jc w:val="both"/>
      </w:pPr>
      <w:r>
        <w:lastRenderedPageBreak/>
        <w:t xml:space="preserve">As </w:t>
      </w:r>
      <w:r w:rsidR="00781BC3">
        <w:t>previously noted</w:t>
      </w:r>
      <w:r w:rsidR="00BF0F95">
        <w:t>, the level</w:t>
      </w:r>
      <w:r>
        <w:t xml:space="preserve"> of ADM</w:t>
      </w:r>
      <w:r w:rsidR="00587938">
        <w:t xml:space="preserve"> and state financial support for laboratory schools has required </w:t>
      </w:r>
      <w:r w:rsidR="00A16BB4">
        <w:t xml:space="preserve">that the UNC System and UNC System institutions close budget gaps. </w:t>
      </w:r>
      <w:r w:rsidR="00587938">
        <w:t>In addition, laboratory schools have made other trade-offs to contain operating costs (e.g., p</w:t>
      </w:r>
      <w:r w:rsidR="00841DE6">
        <w:t>rioritizing support</w:t>
      </w:r>
      <w:r w:rsidR="00587938">
        <w:t>s provided in the first year of implement</w:t>
      </w:r>
      <w:r w:rsidR="00D82AF2">
        <w:t xml:space="preserve">ation; operating co-located </w:t>
      </w:r>
      <w:r w:rsidR="00587938">
        <w:t xml:space="preserve">schools; </w:t>
      </w:r>
      <w:r w:rsidR="002050A1">
        <w:t>scheduling school start and end times around</w:t>
      </w:r>
      <w:r w:rsidR="005A2966">
        <w:t xml:space="preserve"> the</w:t>
      </w:r>
      <w:r w:rsidR="002050A1">
        <w:t xml:space="preserve"> availability of district transportation). </w:t>
      </w:r>
    </w:p>
    <w:p w14:paraId="52341638" w14:textId="77777777" w:rsidR="00C50CFD" w:rsidRDefault="00C50CFD" w:rsidP="00F3074A">
      <w:pPr>
        <w:spacing w:after="0" w:line="240" w:lineRule="auto"/>
        <w:jc w:val="both"/>
      </w:pPr>
    </w:p>
    <w:p w14:paraId="0DC6F428" w14:textId="409C3F60" w:rsidR="00D82AF2" w:rsidRDefault="00C50CFD" w:rsidP="00F3074A">
      <w:pPr>
        <w:spacing w:after="0" w:line="240" w:lineRule="auto"/>
        <w:jc w:val="both"/>
      </w:pPr>
      <w:r w:rsidRPr="00E92271">
        <w:t xml:space="preserve">In 2020, </w:t>
      </w:r>
      <w:r w:rsidR="00E91CA1" w:rsidRPr="00E92271">
        <w:t xml:space="preserve">laboratory schools received one-time supports from two funding sources. </w:t>
      </w:r>
      <w:r w:rsidR="009F6D28" w:rsidRPr="00E92271">
        <w:t xml:space="preserve">The state directed $200,000 to </w:t>
      </w:r>
      <w:r w:rsidR="00E91CA1" w:rsidRPr="00E92271">
        <w:t>laboratory schools for support services.</w:t>
      </w:r>
      <w:r w:rsidR="00E91CA1" w:rsidRPr="00E92271">
        <w:rPr>
          <w:rStyle w:val="FootnoteReference"/>
        </w:rPr>
        <w:footnoteReference w:id="43"/>
      </w:r>
      <w:r w:rsidR="00E91CA1" w:rsidRPr="00E92271">
        <w:t xml:space="preserve"> Laboratory schools also received federal emergency funds under the Coronavirus Aid, Relief, and Economic Security (CARES) Act which provided states funding and flexibilities to support K12 schools and local education agencies in responding to the C</w:t>
      </w:r>
      <w:r w:rsidR="00E92271">
        <w:t>OVID</w:t>
      </w:r>
      <w:r w:rsidR="00E91CA1" w:rsidRPr="00E92271">
        <w:t>-19 pandemic</w:t>
      </w:r>
      <w:r w:rsidR="00E91CA1" w:rsidRPr="00E92271">
        <w:t>.</w:t>
      </w:r>
      <w:r w:rsidR="00D44DF9">
        <w:rPr>
          <w:rStyle w:val="FootnoteReference"/>
        </w:rPr>
        <w:footnoteReference w:id="44"/>
      </w:r>
      <w:r w:rsidR="00E91CA1" w:rsidRPr="00E92271">
        <w:t xml:space="preserve"> </w:t>
      </w:r>
      <w:r w:rsidR="003777E9" w:rsidRPr="00E92271">
        <w:t xml:space="preserve">In addition, as previously noted, legislative changes in the laboratory school enabling legislation effective in the 2021-22 school year provide new guidance </w:t>
      </w:r>
      <w:r w:rsidR="0063571D" w:rsidRPr="00E92271">
        <w:t xml:space="preserve">on costs of certain supports that district partners provide to </w:t>
      </w:r>
      <w:r w:rsidR="003777E9" w:rsidRPr="00E92271">
        <w:t>laboratory schools</w:t>
      </w:r>
      <w:r w:rsidR="0063571D" w:rsidRPr="00E92271">
        <w:t>.</w:t>
      </w:r>
      <w:r w:rsidR="003777E9" w:rsidRPr="00E92271">
        <w:rPr>
          <w:rStyle w:val="FootnoteReference"/>
        </w:rPr>
        <w:footnoteReference w:id="45"/>
      </w:r>
      <w:r w:rsidR="00E805C0" w:rsidRPr="00E92271">
        <w:t xml:space="preserve"> </w:t>
      </w:r>
      <w:r w:rsidR="0063571D" w:rsidRPr="00E92271">
        <w:t xml:space="preserve">These changes may reduce some operating expenses for laboratory schools </w:t>
      </w:r>
      <w:r w:rsidR="00E92271">
        <w:t>and</w:t>
      </w:r>
      <w:r w:rsidR="0063571D" w:rsidRPr="00E92271">
        <w:t xml:space="preserve"> help close budget gaps</w:t>
      </w:r>
      <w:r w:rsidR="003407D9" w:rsidRPr="00E92271">
        <w:t>. However,</w:t>
      </w:r>
      <w:r w:rsidR="00777BA4" w:rsidRPr="00E92271">
        <w:t xml:space="preserve"> </w:t>
      </w:r>
      <w:r w:rsidR="00E805C0" w:rsidRPr="00E92271">
        <w:t xml:space="preserve">the impact of these new </w:t>
      </w:r>
      <w:r w:rsidR="003407D9" w:rsidRPr="00E92271">
        <w:t xml:space="preserve">supports </w:t>
      </w:r>
      <w:r w:rsidR="00E805C0" w:rsidRPr="00E92271">
        <w:t>or the ongoing need for</w:t>
      </w:r>
      <w:r w:rsidR="003407D9" w:rsidRPr="00E92271">
        <w:t xml:space="preserve"> </w:t>
      </w:r>
      <w:r w:rsidR="00D82AF2" w:rsidRPr="00E92271">
        <w:t>UNC System institution</w:t>
      </w:r>
      <w:r w:rsidR="00E805C0" w:rsidRPr="00E92271">
        <w:t>s</w:t>
      </w:r>
      <w:r w:rsidR="003407D9" w:rsidRPr="00E92271">
        <w:t xml:space="preserve"> </w:t>
      </w:r>
      <w:r w:rsidR="00D82AF2" w:rsidRPr="00E92271">
        <w:t xml:space="preserve">to </w:t>
      </w:r>
      <w:r w:rsidR="00E805C0" w:rsidRPr="00E92271">
        <w:t xml:space="preserve">continue </w:t>
      </w:r>
      <w:r w:rsidR="003253FF" w:rsidRPr="00E92271">
        <w:t xml:space="preserve">to </w:t>
      </w:r>
      <w:r w:rsidR="00D82AF2" w:rsidRPr="00E92271">
        <w:t xml:space="preserve">provide their own funds or </w:t>
      </w:r>
      <w:r w:rsidR="005A2966" w:rsidRPr="00E92271">
        <w:t xml:space="preserve">to </w:t>
      </w:r>
      <w:r w:rsidR="00D82AF2" w:rsidRPr="00E92271">
        <w:t>access other funds needed to serve high-need students successfully</w:t>
      </w:r>
      <w:r w:rsidR="00777BA4" w:rsidRPr="00E92271">
        <w:t xml:space="preserve"> </w:t>
      </w:r>
      <w:r w:rsidR="00E805C0" w:rsidRPr="00E92271">
        <w:t>is unclear, particularly given statewide economic uncertainties due to the C</w:t>
      </w:r>
      <w:r w:rsidR="00E92271">
        <w:t>OVID</w:t>
      </w:r>
      <w:r w:rsidR="00E805C0" w:rsidRPr="00E92271">
        <w:t>-19 pandemic.</w:t>
      </w:r>
    </w:p>
    <w:p w14:paraId="1685B683" w14:textId="77777777" w:rsidR="00E92271" w:rsidRDefault="00E92271" w:rsidP="00F3074A">
      <w:pPr>
        <w:spacing w:after="0" w:line="240" w:lineRule="auto"/>
        <w:jc w:val="both"/>
      </w:pPr>
    </w:p>
    <w:p w14:paraId="1CB34F30" w14:textId="2E492AF3" w:rsidR="00CD6008" w:rsidRDefault="00CD6008" w:rsidP="00C50CFD">
      <w:pPr>
        <w:spacing w:after="0" w:line="240" w:lineRule="auto"/>
        <w:jc w:val="both"/>
        <w:rPr>
          <w:b/>
          <w:i/>
        </w:rPr>
      </w:pPr>
      <w:r w:rsidRPr="009A17BF">
        <w:rPr>
          <w:b/>
          <w:i/>
        </w:rPr>
        <w:t>Do laboratory schools improve the academic performance of students?</w:t>
      </w:r>
    </w:p>
    <w:p w14:paraId="25F1A4E1" w14:textId="77777777" w:rsidR="00CD6008" w:rsidRDefault="00CD6008" w:rsidP="00CD6008">
      <w:pPr>
        <w:spacing w:after="0" w:line="240" w:lineRule="auto"/>
        <w:jc w:val="both"/>
        <w:rPr>
          <w:b/>
          <w:i/>
        </w:rPr>
      </w:pPr>
    </w:p>
    <w:p w14:paraId="4D98D711" w14:textId="4C40DDDF" w:rsidR="00876333" w:rsidRPr="00876333" w:rsidRDefault="00CD6008" w:rsidP="00CD6008">
      <w:pPr>
        <w:spacing w:after="0" w:line="240" w:lineRule="auto"/>
        <w:jc w:val="both"/>
      </w:pPr>
      <w:r>
        <w:t xml:space="preserve">To </w:t>
      </w:r>
      <w:r w:rsidR="00876333">
        <w:t xml:space="preserve">examine whether laboratory schools improve the academic performance of students, the Evaluation Team typically provides two types of administrative data in this report—rigorous analyses of </w:t>
      </w:r>
      <w:r w:rsidR="00876333">
        <w:rPr>
          <w:i/>
          <w:iCs/>
        </w:rPr>
        <w:t xml:space="preserve">student-level </w:t>
      </w:r>
      <w:r w:rsidR="00876333">
        <w:t xml:space="preserve">achievement data </w:t>
      </w:r>
      <w:r w:rsidR="00815144">
        <w:t xml:space="preserve">from two years prior (i.e., 2018-19 for this report) and </w:t>
      </w:r>
      <w:r w:rsidR="00876333">
        <w:rPr>
          <w:i/>
          <w:iCs/>
        </w:rPr>
        <w:t xml:space="preserve">school-level </w:t>
      </w:r>
      <w:r w:rsidR="00876333">
        <w:t>achievement data from the most recent school year (</w:t>
      </w:r>
      <w:r w:rsidR="00815144">
        <w:t xml:space="preserve">i.e., </w:t>
      </w:r>
      <w:r w:rsidR="00876333">
        <w:t>2019-20</w:t>
      </w:r>
      <w:r w:rsidR="00815144">
        <w:t xml:space="preserve"> for this report</w:t>
      </w:r>
      <w:r w:rsidR="00876333">
        <w:t xml:space="preserve">). Due to COVID-19 and the associated school closures, students in North Carolina did not take standardized, end-of-grade assessments in spring 2020. As such, this report includes rigorous analyses of </w:t>
      </w:r>
      <w:r w:rsidR="00876333">
        <w:rPr>
          <w:i/>
          <w:iCs/>
        </w:rPr>
        <w:t xml:space="preserve">student-level </w:t>
      </w:r>
      <w:r w:rsidR="00876333">
        <w:t>achievement data from 2018-19 but does not include summary data on the achievement of laboratory schools in 2019-20.</w:t>
      </w:r>
    </w:p>
    <w:p w14:paraId="65BBE5AA" w14:textId="77777777" w:rsidR="00876333" w:rsidRDefault="00876333" w:rsidP="00CD6008">
      <w:pPr>
        <w:spacing w:after="0" w:line="240" w:lineRule="auto"/>
        <w:jc w:val="both"/>
      </w:pPr>
    </w:p>
    <w:p w14:paraId="3B043640" w14:textId="5EA61A1E" w:rsidR="00CD6008" w:rsidRDefault="00CD6008" w:rsidP="00CD6008">
      <w:pPr>
        <w:spacing w:after="0" w:line="240" w:lineRule="auto"/>
        <w:jc w:val="both"/>
        <w:rPr>
          <w:i/>
        </w:rPr>
      </w:pPr>
      <w:r>
        <w:rPr>
          <w:i/>
        </w:rPr>
        <w:t xml:space="preserve">In-depth analyses of </w:t>
      </w:r>
      <w:r w:rsidR="00847305">
        <w:rPr>
          <w:i/>
        </w:rPr>
        <w:t>2018</w:t>
      </w:r>
      <w:r>
        <w:rPr>
          <w:i/>
        </w:rPr>
        <w:t>-1</w:t>
      </w:r>
      <w:r w:rsidR="00847305">
        <w:rPr>
          <w:i/>
        </w:rPr>
        <w:t>9</w:t>
      </w:r>
      <w:r>
        <w:rPr>
          <w:i/>
        </w:rPr>
        <w:t xml:space="preserve"> student academic performance</w:t>
      </w:r>
    </w:p>
    <w:p w14:paraId="500D2050" w14:textId="229D7315" w:rsidR="000A5E79" w:rsidRDefault="000A5E79" w:rsidP="00CD6008">
      <w:pPr>
        <w:spacing w:after="0" w:line="240" w:lineRule="auto"/>
        <w:jc w:val="both"/>
        <w:rPr>
          <w:i/>
        </w:rPr>
      </w:pPr>
    </w:p>
    <w:p w14:paraId="0D54B430" w14:textId="0E425BF2" w:rsidR="000A5E79" w:rsidRDefault="000A5E79" w:rsidP="00CD6008">
      <w:pPr>
        <w:spacing w:after="0" w:line="240" w:lineRule="auto"/>
        <w:jc w:val="both"/>
        <w:rPr>
          <w:iCs/>
        </w:rPr>
      </w:pPr>
      <w:r>
        <w:rPr>
          <w:iCs/>
        </w:rPr>
        <w:t xml:space="preserve">Per legislative design, the five laboratory schools operating in 2018-19 enrolled students who had previously </w:t>
      </w:r>
      <w:r w:rsidR="000D7FA3">
        <w:rPr>
          <w:iCs/>
        </w:rPr>
        <w:t xml:space="preserve">attended </w:t>
      </w:r>
      <w:r>
        <w:rPr>
          <w:iCs/>
        </w:rPr>
        <w:t xml:space="preserve">a low-performing school and/or who failed to meet expected growth in the previous academic year (based on one or more indicators). This complicates efforts to isolate the impact of laboratory schools on student achievement. The nature of students attending laboratory schools—previously low-performing, attending low-performing schools—means that comparison groups must be carefully identified. Even with rigorous methods, adjustments for unobservable characteristics associated with student enrollment at laboratory schools may not be possible. </w:t>
      </w:r>
    </w:p>
    <w:p w14:paraId="6CD5F35C" w14:textId="66E60AA1" w:rsidR="000A5E79" w:rsidRDefault="000A5E79" w:rsidP="00CD6008">
      <w:pPr>
        <w:spacing w:after="0" w:line="240" w:lineRule="auto"/>
        <w:jc w:val="both"/>
        <w:rPr>
          <w:iCs/>
        </w:rPr>
      </w:pPr>
    </w:p>
    <w:p w14:paraId="2232A638" w14:textId="67F00ABF" w:rsidR="000A5E79" w:rsidRDefault="004E575A" w:rsidP="00CD6008">
      <w:pPr>
        <w:spacing w:after="0" w:line="240" w:lineRule="auto"/>
        <w:jc w:val="both"/>
        <w:rPr>
          <w:iCs/>
        </w:rPr>
      </w:pPr>
      <w:r>
        <w:rPr>
          <w:iCs/>
        </w:rPr>
        <w:lastRenderedPageBreak/>
        <w:t xml:space="preserve">With these cautions, the Evaluation Team makes the following comparisons: (1) comparing the test scores of laboratory school students in 2018-19 with their own test scores in the previous school year(s) and (2) comparing the test scores of laboratory school students in 2018-19 with the test scores of a matched comparison sample. In Appendix A5, the Evaluation Team also displays unadjusted test scores for laboratory school students versus all other students in the laboratory schools’ host LEAs. </w:t>
      </w:r>
      <w:r w:rsidR="00FD0367">
        <w:rPr>
          <w:iCs/>
        </w:rPr>
        <w:t>Notably, as shown in Appendix Table A5.5, eight 8</w:t>
      </w:r>
      <w:r w:rsidR="00FD0367" w:rsidRPr="00FD0367">
        <w:rPr>
          <w:iCs/>
          <w:vertAlign w:val="superscript"/>
        </w:rPr>
        <w:t>th</w:t>
      </w:r>
      <w:r w:rsidR="00FD0367">
        <w:rPr>
          <w:iCs/>
        </w:rPr>
        <w:t xml:space="preserve"> graders at The Catamount School </w:t>
      </w:r>
      <w:r w:rsidR="00D0548E">
        <w:rPr>
          <w:iCs/>
        </w:rPr>
        <w:t xml:space="preserve">(WCU) </w:t>
      </w:r>
      <w:r w:rsidR="00FD0367">
        <w:rPr>
          <w:iCs/>
        </w:rPr>
        <w:t>took Math I in 2018-19. Their average Math I score was 553.6—relative to 550.5 in Jackson County—and 75 percent of those students passed the exam and earned high school course credit.</w:t>
      </w:r>
    </w:p>
    <w:p w14:paraId="3C8377C9" w14:textId="1A973270" w:rsidR="00FB7748" w:rsidRDefault="00FB7748" w:rsidP="00CD6008">
      <w:pPr>
        <w:spacing w:after="0" w:line="240" w:lineRule="auto"/>
        <w:jc w:val="both"/>
        <w:rPr>
          <w:iCs/>
        </w:rPr>
      </w:pPr>
    </w:p>
    <w:p w14:paraId="1A688107" w14:textId="7DB307B9" w:rsidR="00377432" w:rsidRDefault="00FB7748" w:rsidP="00CD6008">
      <w:pPr>
        <w:spacing w:after="0" w:line="240" w:lineRule="auto"/>
        <w:jc w:val="both"/>
        <w:rPr>
          <w:iCs/>
        </w:rPr>
      </w:pPr>
      <w:r>
        <w:rPr>
          <w:iCs/>
        </w:rPr>
        <w:t>For the three laboratory schools in their first year of operation in 2018-19—</w:t>
      </w:r>
      <w:r w:rsidR="005F2358">
        <w:rPr>
          <w:iCs/>
        </w:rPr>
        <w:t xml:space="preserve">the </w:t>
      </w:r>
      <w:r>
        <w:rPr>
          <w:iCs/>
        </w:rPr>
        <w:t>Academy</w:t>
      </w:r>
      <w:r w:rsidR="005F2358">
        <w:rPr>
          <w:iCs/>
        </w:rPr>
        <w:t xml:space="preserve"> at Middle Fork (Appalachian State)</w:t>
      </w:r>
      <w:r>
        <w:rPr>
          <w:iCs/>
        </w:rPr>
        <w:t xml:space="preserve">, Moss Street Partnership School (UNCG), and D.C. Virgo Preparatory Academy (UNCW)—Table 3 presents laboratory school students’ EOG test scores from 2018-19 and their prior scores from the same subject area in 2017-18. Scores are standardized within subject, grade, and year (across </w:t>
      </w:r>
      <w:r>
        <w:rPr>
          <w:i/>
        </w:rPr>
        <w:t xml:space="preserve">all </w:t>
      </w:r>
      <w:r>
        <w:rPr>
          <w:iCs/>
        </w:rPr>
        <w:t>North Carolina public school students) to show students’ placement in the test score distribution.</w:t>
      </w:r>
      <w:r w:rsidR="00044D91">
        <w:rPr>
          <w:rStyle w:val="FootnoteReference"/>
        </w:rPr>
        <w:footnoteReference w:id="46"/>
      </w:r>
      <w:r w:rsidR="00D904C6">
        <w:rPr>
          <w:iCs/>
        </w:rPr>
        <w:t xml:space="preserve"> That is, if a student scores 10 percent of a standard deviation (0.100) below the mean in 2017-18 and 10 percent of a standard deviation below the mean in 2018-19, the student made the average amount of growth. If a student’s placement in the test score distribution changes, that indicates that the student made more or less growth than the average.</w:t>
      </w:r>
      <w:r w:rsidR="006E262E">
        <w:rPr>
          <w:iCs/>
        </w:rPr>
        <w:t xml:space="preserve"> </w:t>
      </w:r>
    </w:p>
    <w:p w14:paraId="1EE19771" w14:textId="77777777" w:rsidR="00377432" w:rsidRDefault="00377432" w:rsidP="00CD6008">
      <w:pPr>
        <w:spacing w:after="0" w:line="240" w:lineRule="auto"/>
        <w:jc w:val="both"/>
        <w:rPr>
          <w:iCs/>
        </w:rPr>
      </w:pPr>
    </w:p>
    <w:p w14:paraId="3576B30D" w14:textId="400B44D5" w:rsidR="00FB7748" w:rsidRDefault="006E262E" w:rsidP="00CD6008">
      <w:pPr>
        <w:spacing w:after="0" w:line="240" w:lineRule="auto"/>
        <w:jc w:val="both"/>
        <w:rPr>
          <w:iCs/>
        </w:rPr>
      </w:pPr>
      <w:r>
        <w:rPr>
          <w:iCs/>
        </w:rPr>
        <w:t>Data from the A</w:t>
      </w:r>
      <w:r w:rsidR="005F2358">
        <w:rPr>
          <w:iCs/>
        </w:rPr>
        <w:t>cademy at Middle Fork (Appalachian State)</w:t>
      </w:r>
      <w:r>
        <w:rPr>
          <w:iCs/>
        </w:rPr>
        <w:t xml:space="preserve"> show that students’ placement in the test score distribution was slightly higher in 2018-19 (when attending the laboratory school) than in 2017-18 (before enrolling at the laboratory school). </w:t>
      </w:r>
      <w:r w:rsidR="00377432">
        <w:rPr>
          <w:iCs/>
        </w:rPr>
        <w:t>For example, in 2018-19, 3</w:t>
      </w:r>
      <w:r w:rsidR="00377432" w:rsidRPr="00377432">
        <w:rPr>
          <w:iCs/>
          <w:vertAlign w:val="superscript"/>
        </w:rPr>
        <w:t>rd</w:t>
      </w:r>
      <w:r w:rsidR="00377432">
        <w:rPr>
          <w:iCs/>
        </w:rPr>
        <w:t>-5</w:t>
      </w:r>
      <w:r w:rsidR="00377432" w:rsidRPr="00377432">
        <w:rPr>
          <w:iCs/>
          <w:vertAlign w:val="superscript"/>
        </w:rPr>
        <w:t>th</w:t>
      </w:r>
      <w:r w:rsidR="00377432">
        <w:rPr>
          <w:iCs/>
        </w:rPr>
        <w:t xml:space="preserve"> grade students at the A</w:t>
      </w:r>
      <w:r w:rsidR="005F2358">
        <w:rPr>
          <w:iCs/>
        </w:rPr>
        <w:t>cademy at Middle Fork</w:t>
      </w:r>
      <w:r w:rsidR="00377432">
        <w:rPr>
          <w:iCs/>
        </w:rPr>
        <w:t xml:space="preserve"> scored 0.67 standard deviations below the statewide mean in reading; in 2017-18, these same students scored nearly 0.76 standard deviations below the statewide mean in reading.</w:t>
      </w:r>
      <w:r w:rsidR="008D05A4">
        <w:rPr>
          <w:iCs/>
        </w:rPr>
        <w:t xml:space="preserve"> Data from the Moss Street Partnership School</w:t>
      </w:r>
      <w:r w:rsidR="00D0548E">
        <w:rPr>
          <w:iCs/>
        </w:rPr>
        <w:t xml:space="preserve"> (UNCG)</w:t>
      </w:r>
      <w:r w:rsidR="008D05A4">
        <w:rPr>
          <w:iCs/>
        </w:rPr>
        <w:t xml:space="preserve"> show that students’ placement in the test score distribution was much lower in 2018-19 compared to 2017-18. For example, 4</w:t>
      </w:r>
      <w:r w:rsidR="008D05A4" w:rsidRPr="008D05A4">
        <w:rPr>
          <w:iCs/>
          <w:vertAlign w:val="superscript"/>
        </w:rPr>
        <w:t>th</w:t>
      </w:r>
      <w:r w:rsidR="008D05A4">
        <w:rPr>
          <w:iCs/>
        </w:rPr>
        <w:t xml:space="preserve"> and 5</w:t>
      </w:r>
      <w:r w:rsidR="008D05A4" w:rsidRPr="008D05A4">
        <w:rPr>
          <w:iCs/>
          <w:vertAlign w:val="superscript"/>
        </w:rPr>
        <w:t>th</w:t>
      </w:r>
      <w:r w:rsidR="008D05A4">
        <w:rPr>
          <w:iCs/>
        </w:rPr>
        <w:t xml:space="preserve"> grade students at the Moss Street Partnership School scored one standard deviation below the statewide mean in math; in 2017-18 these same students scored 0.43 standard deviations below the statewide mean in math. </w:t>
      </w:r>
      <w:r w:rsidR="00BE7B52">
        <w:rPr>
          <w:iCs/>
        </w:rPr>
        <w:t>Finally, data from D.C. Virgo Preparatory Academy</w:t>
      </w:r>
      <w:r w:rsidR="00D0548E">
        <w:rPr>
          <w:iCs/>
        </w:rPr>
        <w:t xml:space="preserve"> (UNCW)</w:t>
      </w:r>
      <w:r w:rsidR="00BE7B52">
        <w:rPr>
          <w:iCs/>
        </w:rPr>
        <w:t xml:space="preserve"> indicate that students’ placement in the test score distribution was generally lower in 2018-19 than in 2017-18. This is true for elementary grades reading (3-5) and math (4-5) and for middle grades reading (6-8). The exception is middle grades math (6-8), where D.C. Virgo Preparatory Academy students scored higher in the test score distribution in 2018-19.</w:t>
      </w:r>
      <w:r w:rsidR="005E3FB4">
        <w:rPr>
          <w:iCs/>
        </w:rPr>
        <w:t xml:space="preserve"> </w:t>
      </w:r>
      <w:r w:rsidR="00124C58">
        <w:rPr>
          <w:iCs/>
        </w:rPr>
        <w:t>(S</w:t>
      </w:r>
      <w:r w:rsidR="005E3FB4">
        <w:rPr>
          <w:iCs/>
        </w:rPr>
        <w:t>ee Appendix Table A5.6 for further detail on these current year (2018-19) and prior year (2017-18) test score comparisons at each grade level.</w:t>
      </w:r>
      <w:r w:rsidR="00124C58">
        <w:rPr>
          <w:iCs/>
        </w:rPr>
        <w:t>)</w:t>
      </w:r>
    </w:p>
    <w:p w14:paraId="00209F52" w14:textId="7E8CAC41" w:rsidR="00044D91" w:rsidRDefault="00044D91" w:rsidP="00CD6008">
      <w:pPr>
        <w:spacing w:after="0" w:line="240" w:lineRule="auto"/>
        <w:jc w:val="both"/>
        <w:rPr>
          <w:iCs/>
        </w:rPr>
      </w:pPr>
    </w:p>
    <w:p w14:paraId="3B081B73" w14:textId="77777777" w:rsidR="0069132D" w:rsidRDefault="0069132D" w:rsidP="00044D91">
      <w:pPr>
        <w:spacing w:after="0" w:line="240" w:lineRule="auto"/>
        <w:jc w:val="both"/>
        <w:rPr>
          <w:i/>
        </w:rPr>
      </w:pPr>
    </w:p>
    <w:p w14:paraId="62F89B8C" w14:textId="77777777" w:rsidR="0069132D" w:rsidRDefault="0069132D" w:rsidP="00044D91">
      <w:pPr>
        <w:spacing w:after="0" w:line="240" w:lineRule="auto"/>
        <w:jc w:val="both"/>
        <w:rPr>
          <w:i/>
        </w:rPr>
      </w:pPr>
    </w:p>
    <w:p w14:paraId="640E1338" w14:textId="77777777" w:rsidR="0069132D" w:rsidRDefault="0069132D" w:rsidP="00044D91">
      <w:pPr>
        <w:spacing w:after="0" w:line="240" w:lineRule="auto"/>
        <w:jc w:val="both"/>
        <w:rPr>
          <w:i/>
        </w:rPr>
      </w:pPr>
    </w:p>
    <w:p w14:paraId="3B2FB56F" w14:textId="77777777" w:rsidR="0069132D" w:rsidRDefault="0069132D" w:rsidP="00044D91">
      <w:pPr>
        <w:spacing w:after="0" w:line="240" w:lineRule="auto"/>
        <w:jc w:val="both"/>
        <w:rPr>
          <w:i/>
        </w:rPr>
      </w:pPr>
    </w:p>
    <w:p w14:paraId="101693A4" w14:textId="77777777" w:rsidR="0069132D" w:rsidRDefault="0069132D" w:rsidP="00044D91">
      <w:pPr>
        <w:spacing w:after="0" w:line="240" w:lineRule="auto"/>
        <w:jc w:val="both"/>
        <w:rPr>
          <w:i/>
        </w:rPr>
      </w:pPr>
    </w:p>
    <w:p w14:paraId="7B8C07ED" w14:textId="77777777" w:rsidR="0069132D" w:rsidRDefault="0069132D" w:rsidP="00044D91">
      <w:pPr>
        <w:spacing w:after="0" w:line="240" w:lineRule="auto"/>
        <w:jc w:val="both"/>
        <w:rPr>
          <w:i/>
        </w:rPr>
      </w:pPr>
    </w:p>
    <w:p w14:paraId="46C3B8E1" w14:textId="77777777" w:rsidR="0069132D" w:rsidRDefault="0069132D" w:rsidP="00044D91">
      <w:pPr>
        <w:spacing w:after="0" w:line="240" w:lineRule="auto"/>
        <w:jc w:val="both"/>
        <w:rPr>
          <w:i/>
        </w:rPr>
      </w:pPr>
    </w:p>
    <w:p w14:paraId="3C2DF7E5" w14:textId="77777777" w:rsidR="0069132D" w:rsidRDefault="0069132D" w:rsidP="00044D91">
      <w:pPr>
        <w:spacing w:after="0" w:line="240" w:lineRule="auto"/>
        <w:jc w:val="both"/>
        <w:rPr>
          <w:i/>
        </w:rPr>
      </w:pPr>
    </w:p>
    <w:p w14:paraId="71894F28" w14:textId="77777777" w:rsidR="0069132D" w:rsidRDefault="0069132D" w:rsidP="00044D91">
      <w:pPr>
        <w:spacing w:after="0" w:line="240" w:lineRule="auto"/>
        <w:jc w:val="both"/>
        <w:rPr>
          <w:i/>
        </w:rPr>
      </w:pPr>
    </w:p>
    <w:p w14:paraId="3655BCF2" w14:textId="77777777" w:rsidR="0069132D" w:rsidRDefault="0069132D" w:rsidP="00044D91">
      <w:pPr>
        <w:spacing w:after="0" w:line="240" w:lineRule="auto"/>
        <w:jc w:val="both"/>
        <w:rPr>
          <w:i/>
        </w:rPr>
      </w:pPr>
    </w:p>
    <w:p w14:paraId="5F9553EB" w14:textId="3BAEA752" w:rsidR="00044D91" w:rsidRDefault="00044D91" w:rsidP="00044D91">
      <w:pPr>
        <w:spacing w:after="0" w:line="240" w:lineRule="auto"/>
        <w:jc w:val="both"/>
        <w:rPr>
          <w:i/>
        </w:rPr>
      </w:pPr>
      <w:r w:rsidRPr="00037B20">
        <w:rPr>
          <w:i/>
        </w:rPr>
        <w:lastRenderedPageBreak/>
        <w:t xml:space="preserve">Table </w:t>
      </w:r>
      <w:r>
        <w:rPr>
          <w:i/>
        </w:rPr>
        <w:t>3</w:t>
      </w:r>
      <w:r w:rsidRPr="00037B20">
        <w:rPr>
          <w:i/>
        </w:rPr>
        <w:t xml:space="preserve">:  </w:t>
      </w:r>
      <w:r w:rsidRPr="00037B20">
        <w:t xml:space="preserve"> </w:t>
      </w:r>
      <w:r w:rsidRPr="00037B20">
        <w:rPr>
          <w:i/>
        </w:rPr>
        <w:t>Comparing</w:t>
      </w:r>
      <w:r>
        <w:rPr>
          <w:i/>
        </w:rPr>
        <w:t xml:space="preserve"> Test Score Data in 2018-19 and 2017-18 for Laboratory School Students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7"/>
        <w:gridCol w:w="2337"/>
        <w:gridCol w:w="2161"/>
        <w:gridCol w:w="2515"/>
      </w:tblGrid>
      <w:tr w:rsidR="00044D91" w14:paraId="5DD61FFF" w14:textId="77777777" w:rsidTr="000C2FB1">
        <w:trPr>
          <w:trHeight w:val="317"/>
        </w:trPr>
        <w:tc>
          <w:tcPr>
            <w:tcW w:w="2337" w:type="dxa"/>
            <w:shd w:val="clear" w:color="auto" w:fill="F2F2F2" w:themeFill="background1" w:themeFillShade="F2"/>
            <w:vAlign w:val="center"/>
          </w:tcPr>
          <w:p w14:paraId="7EC13DE7" w14:textId="77777777" w:rsidR="00044D91" w:rsidRPr="00851BC8" w:rsidRDefault="00044D91" w:rsidP="000C2FB1">
            <w:pPr>
              <w:jc w:val="center"/>
            </w:pPr>
            <w:r w:rsidRPr="00851BC8">
              <w:t>Test</w:t>
            </w:r>
          </w:p>
        </w:tc>
        <w:tc>
          <w:tcPr>
            <w:tcW w:w="2337" w:type="dxa"/>
            <w:shd w:val="clear" w:color="auto" w:fill="F2F2F2" w:themeFill="background1" w:themeFillShade="F2"/>
            <w:vAlign w:val="center"/>
          </w:tcPr>
          <w:p w14:paraId="5670B776" w14:textId="77777777" w:rsidR="00044D91" w:rsidRPr="00851BC8" w:rsidRDefault="00044D91" w:rsidP="000C2FB1">
            <w:pPr>
              <w:jc w:val="center"/>
            </w:pPr>
            <w:r w:rsidRPr="00851BC8">
              <w:t xml:space="preserve">Count of Students with Test Data in </w:t>
            </w:r>
            <w:r w:rsidRPr="00A76901">
              <w:rPr>
                <w:b/>
                <w:u w:val="single"/>
              </w:rPr>
              <w:t>Both</w:t>
            </w:r>
            <w:r w:rsidRPr="00851BC8">
              <w:t xml:space="preserve"> Periods</w:t>
            </w:r>
          </w:p>
        </w:tc>
        <w:tc>
          <w:tcPr>
            <w:tcW w:w="2161" w:type="dxa"/>
            <w:shd w:val="clear" w:color="auto" w:fill="F2F2F2" w:themeFill="background1" w:themeFillShade="F2"/>
            <w:vAlign w:val="center"/>
          </w:tcPr>
          <w:p w14:paraId="3D3AFD1D" w14:textId="76ED90CB" w:rsidR="00044D91" w:rsidRPr="00851BC8" w:rsidRDefault="00044D91" w:rsidP="000C2FB1">
            <w:pPr>
              <w:jc w:val="center"/>
            </w:pPr>
            <w:r w:rsidRPr="00851BC8">
              <w:t>201</w:t>
            </w:r>
            <w:r>
              <w:t>8-19</w:t>
            </w:r>
            <w:r w:rsidRPr="00851BC8">
              <w:t xml:space="preserve"> Test Score</w:t>
            </w:r>
          </w:p>
          <w:p w14:paraId="1B0D13CF" w14:textId="77777777" w:rsidR="00044D91" w:rsidRPr="00851BC8" w:rsidRDefault="00044D91" w:rsidP="000C2FB1">
            <w:pPr>
              <w:jc w:val="center"/>
            </w:pPr>
            <w:r w:rsidRPr="00851BC8">
              <w:t>(Standardized)</w:t>
            </w:r>
          </w:p>
        </w:tc>
        <w:tc>
          <w:tcPr>
            <w:tcW w:w="2515" w:type="dxa"/>
            <w:shd w:val="clear" w:color="auto" w:fill="F2F2F2" w:themeFill="background1" w:themeFillShade="F2"/>
            <w:vAlign w:val="center"/>
          </w:tcPr>
          <w:p w14:paraId="5FBDB09B" w14:textId="5F9D9ABF" w:rsidR="00044D91" w:rsidRPr="00851BC8" w:rsidRDefault="00044D91" w:rsidP="000C2FB1">
            <w:pPr>
              <w:jc w:val="center"/>
            </w:pPr>
            <w:r w:rsidRPr="00851BC8">
              <w:t>Prior Year (2017</w:t>
            </w:r>
            <w:r>
              <w:t>-18</w:t>
            </w:r>
            <w:r w:rsidRPr="00851BC8">
              <w:t>) Test Score in the Same Subject-Area</w:t>
            </w:r>
          </w:p>
          <w:p w14:paraId="0B2D244C" w14:textId="77777777" w:rsidR="00044D91" w:rsidRPr="00851BC8" w:rsidRDefault="00044D91" w:rsidP="000C2FB1">
            <w:pPr>
              <w:jc w:val="center"/>
            </w:pPr>
            <w:r w:rsidRPr="00851BC8">
              <w:t>(Standardized)</w:t>
            </w:r>
          </w:p>
        </w:tc>
      </w:tr>
      <w:tr w:rsidR="00044D91" w14:paraId="73806754" w14:textId="77777777" w:rsidTr="000C2FB1">
        <w:trPr>
          <w:trHeight w:val="317"/>
        </w:trPr>
        <w:tc>
          <w:tcPr>
            <w:tcW w:w="9350" w:type="dxa"/>
            <w:gridSpan w:val="4"/>
            <w:vAlign w:val="center"/>
          </w:tcPr>
          <w:p w14:paraId="7A964FCD" w14:textId="6423F208" w:rsidR="00044D91" w:rsidRPr="00851BC8" w:rsidRDefault="00044D91" w:rsidP="000C2FB1">
            <w:pPr>
              <w:jc w:val="center"/>
              <w:rPr>
                <w:i/>
              </w:rPr>
            </w:pPr>
            <w:r w:rsidRPr="0056185B">
              <w:rPr>
                <w:i/>
                <w:sz w:val="20"/>
                <w:szCs w:val="20"/>
              </w:rPr>
              <w:t xml:space="preserve"> Academy at Middle Fork</w:t>
            </w:r>
            <w:r w:rsidR="00EC674B">
              <w:rPr>
                <w:i/>
                <w:sz w:val="20"/>
                <w:szCs w:val="20"/>
              </w:rPr>
              <w:t xml:space="preserve"> (Appalachian State)</w:t>
            </w:r>
          </w:p>
        </w:tc>
      </w:tr>
      <w:tr w:rsidR="00044D91" w14:paraId="59AAAF3D" w14:textId="77777777" w:rsidTr="000C2FB1">
        <w:trPr>
          <w:trHeight w:val="317"/>
        </w:trPr>
        <w:tc>
          <w:tcPr>
            <w:tcW w:w="2337" w:type="dxa"/>
            <w:vAlign w:val="center"/>
          </w:tcPr>
          <w:p w14:paraId="2008E519" w14:textId="7B4AF343" w:rsidR="00044D91" w:rsidRDefault="00044D91" w:rsidP="00044D91">
            <w:pPr>
              <w:jc w:val="right"/>
            </w:pPr>
            <w:r w:rsidRPr="0066616E">
              <w:rPr>
                <w:sz w:val="18"/>
                <w:szCs w:val="18"/>
              </w:rPr>
              <w:t>Reading (3-5)</w:t>
            </w:r>
          </w:p>
        </w:tc>
        <w:tc>
          <w:tcPr>
            <w:tcW w:w="2337" w:type="dxa"/>
            <w:vAlign w:val="center"/>
          </w:tcPr>
          <w:p w14:paraId="1049B2FF" w14:textId="0563445C" w:rsidR="00044D91" w:rsidRDefault="00044D91" w:rsidP="00044D91">
            <w:pPr>
              <w:jc w:val="center"/>
            </w:pPr>
            <w:r w:rsidRPr="0066616E">
              <w:rPr>
                <w:sz w:val="18"/>
                <w:szCs w:val="18"/>
              </w:rPr>
              <w:t>140</w:t>
            </w:r>
          </w:p>
        </w:tc>
        <w:tc>
          <w:tcPr>
            <w:tcW w:w="2161" w:type="dxa"/>
            <w:vAlign w:val="center"/>
          </w:tcPr>
          <w:p w14:paraId="76649BFA" w14:textId="4C422A01" w:rsidR="00044D91" w:rsidRDefault="00044D91" w:rsidP="00044D91">
            <w:pPr>
              <w:jc w:val="center"/>
            </w:pPr>
            <w:r w:rsidRPr="0066616E">
              <w:rPr>
                <w:sz w:val="18"/>
                <w:szCs w:val="18"/>
              </w:rPr>
              <w:t>-0.673</w:t>
            </w:r>
          </w:p>
        </w:tc>
        <w:tc>
          <w:tcPr>
            <w:tcW w:w="2515" w:type="dxa"/>
            <w:vAlign w:val="center"/>
          </w:tcPr>
          <w:p w14:paraId="0CC0C0A2" w14:textId="21524520" w:rsidR="00044D91" w:rsidRDefault="00044D91" w:rsidP="00044D91">
            <w:pPr>
              <w:jc w:val="center"/>
            </w:pPr>
            <w:r w:rsidRPr="0066616E">
              <w:rPr>
                <w:sz w:val="18"/>
                <w:szCs w:val="18"/>
              </w:rPr>
              <w:t>-0.758</w:t>
            </w:r>
          </w:p>
        </w:tc>
      </w:tr>
      <w:tr w:rsidR="00044D91" w14:paraId="5F39769E" w14:textId="77777777" w:rsidTr="000C2FB1">
        <w:trPr>
          <w:trHeight w:val="317"/>
        </w:trPr>
        <w:tc>
          <w:tcPr>
            <w:tcW w:w="2337" w:type="dxa"/>
            <w:vAlign w:val="center"/>
          </w:tcPr>
          <w:p w14:paraId="04118D55" w14:textId="781DD129" w:rsidR="00044D91" w:rsidRDefault="00044D91" w:rsidP="00044D91">
            <w:pPr>
              <w:jc w:val="right"/>
            </w:pPr>
            <w:r w:rsidRPr="0066616E">
              <w:rPr>
                <w:sz w:val="18"/>
                <w:szCs w:val="18"/>
              </w:rPr>
              <w:t>Math (4-5)</w:t>
            </w:r>
          </w:p>
        </w:tc>
        <w:tc>
          <w:tcPr>
            <w:tcW w:w="2337" w:type="dxa"/>
            <w:vAlign w:val="center"/>
          </w:tcPr>
          <w:p w14:paraId="3067A503" w14:textId="2AEE0669" w:rsidR="00044D91" w:rsidRDefault="00044D91" w:rsidP="00044D91">
            <w:pPr>
              <w:jc w:val="center"/>
            </w:pPr>
            <w:r w:rsidRPr="0066616E">
              <w:rPr>
                <w:sz w:val="18"/>
                <w:szCs w:val="18"/>
              </w:rPr>
              <w:t>93</w:t>
            </w:r>
          </w:p>
        </w:tc>
        <w:tc>
          <w:tcPr>
            <w:tcW w:w="2161" w:type="dxa"/>
            <w:vAlign w:val="center"/>
          </w:tcPr>
          <w:p w14:paraId="1332213C" w14:textId="0878AF02" w:rsidR="00044D91" w:rsidRDefault="00044D91" w:rsidP="00044D91">
            <w:pPr>
              <w:jc w:val="center"/>
            </w:pPr>
            <w:r w:rsidRPr="0066616E">
              <w:rPr>
                <w:sz w:val="18"/>
                <w:szCs w:val="18"/>
              </w:rPr>
              <w:t>-0.913</w:t>
            </w:r>
          </w:p>
        </w:tc>
        <w:tc>
          <w:tcPr>
            <w:tcW w:w="2515" w:type="dxa"/>
            <w:vAlign w:val="center"/>
          </w:tcPr>
          <w:p w14:paraId="0531B6AB" w14:textId="18DE906F" w:rsidR="00044D91" w:rsidRDefault="00044D91" w:rsidP="00044D91">
            <w:pPr>
              <w:jc w:val="center"/>
            </w:pPr>
            <w:r w:rsidRPr="0066616E">
              <w:rPr>
                <w:sz w:val="18"/>
                <w:szCs w:val="18"/>
              </w:rPr>
              <w:t>-0.977</w:t>
            </w:r>
          </w:p>
        </w:tc>
      </w:tr>
      <w:tr w:rsidR="00044D91" w14:paraId="45C0AF30" w14:textId="77777777" w:rsidTr="000C2FB1">
        <w:trPr>
          <w:trHeight w:val="317"/>
        </w:trPr>
        <w:tc>
          <w:tcPr>
            <w:tcW w:w="9350" w:type="dxa"/>
            <w:gridSpan w:val="4"/>
            <w:vAlign w:val="center"/>
          </w:tcPr>
          <w:p w14:paraId="2F7C11B9" w14:textId="67D41854" w:rsidR="00044D91" w:rsidRPr="00D70B66" w:rsidRDefault="00044D91" w:rsidP="00044D91">
            <w:pPr>
              <w:jc w:val="center"/>
              <w:rPr>
                <w:i/>
              </w:rPr>
            </w:pPr>
            <w:r w:rsidRPr="0056185B">
              <w:rPr>
                <w:i/>
                <w:sz w:val="20"/>
                <w:szCs w:val="20"/>
              </w:rPr>
              <w:t>Moss Street Partnership School</w:t>
            </w:r>
          </w:p>
        </w:tc>
      </w:tr>
      <w:tr w:rsidR="00044D91" w14:paraId="701DCDA0" w14:textId="77777777" w:rsidTr="000C2FB1">
        <w:trPr>
          <w:trHeight w:val="317"/>
        </w:trPr>
        <w:tc>
          <w:tcPr>
            <w:tcW w:w="2337" w:type="dxa"/>
            <w:vAlign w:val="center"/>
          </w:tcPr>
          <w:p w14:paraId="0C0D9B22" w14:textId="4EB634DE" w:rsidR="00044D91" w:rsidRDefault="00044D91" w:rsidP="00044D91">
            <w:pPr>
              <w:jc w:val="right"/>
            </w:pPr>
            <w:r w:rsidRPr="0066616E">
              <w:rPr>
                <w:sz w:val="18"/>
                <w:szCs w:val="18"/>
              </w:rPr>
              <w:t>Reading (3-5)</w:t>
            </w:r>
          </w:p>
        </w:tc>
        <w:tc>
          <w:tcPr>
            <w:tcW w:w="2337" w:type="dxa"/>
            <w:vAlign w:val="center"/>
          </w:tcPr>
          <w:p w14:paraId="010520E7" w14:textId="3F170722" w:rsidR="00044D91" w:rsidRDefault="00044D91" w:rsidP="00044D91">
            <w:pPr>
              <w:jc w:val="center"/>
            </w:pPr>
            <w:r w:rsidRPr="0066616E">
              <w:rPr>
                <w:sz w:val="18"/>
                <w:szCs w:val="18"/>
              </w:rPr>
              <w:t>164</w:t>
            </w:r>
          </w:p>
        </w:tc>
        <w:tc>
          <w:tcPr>
            <w:tcW w:w="2161" w:type="dxa"/>
            <w:vAlign w:val="center"/>
          </w:tcPr>
          <w:p w14:paraId="3CCBDE36" w14:textId="71797F10" w:rsidR="00044D91" w:rsidRDefault="00044D91" w:rsidP="00044D91">
            <w:pPr>
              <w:jc w:val="center"/>
            </w:pPr>
            <w:r w:rsidRPr="0066616E">
              <w:rPr>
                <w:sz w:val="18"/>
                <w:szCs w:val="18"/>
              </w:rPr>
              <w:t>-0.901</w:t>
            </w:r>
          </w:p>
        </w:tc>
        <w:tc>
          <w:tcPr>
            <w:tcW w:w="2515" w:type="dxa"/>
            <w:vAlign w:val="center"/>
          </w:tcPr>
          <w:p w14:paraId="7418A278" w14:textId="5D0C6F3D" w:rsidR="00044D91" w:rsidRDefault="00044D91" w:rsidP="00044D91">
            <w:pPr>
              <w:jc w:val="center"/>
            </w:pPr>
            <w:r w:rsidRPr="0066616E">
              <w:rPr>
                <w:sz w:val="18"/>
                <w:szCs w:val="18"/>
              </w:rPr>
              <w:t>-0.449</w:t>
            </w:r>
          </w:p>
        </w:tc>
      </w:tr>
      <w:tr w:rsidR="00044D91" w14:paraId="6BADF4BE" w14:textId="77777777" w:rsidTr="000C2FB1">
        <w:trPr>
          <w:trHeight w:val="317"/>
        </w:trPr>
        <w:tc>
          <w:tcPr>
            <w:tcW w:w="2337" w:type="dxa"/>
            <w:vAlign w:val="center"/>
          </w:tcPr>
          <w:p w14:paraId="42667307" w14:textId="5225C0CC" w:rsidR="00044D91" w:rsidRDefault="00044D91" w:rsidP="00044D91">
            <w:pPr>
              <w:jc w:val="right"/>
            </w:pPr>
            <w:r w:rsidRPr="0066616E">
              <w:rPr>
                <w:sz w:val="18"/>
                <w:szCs w:val="18"/>
              </w:rPr>
              <w:t>Math (4-5)</w:t>
            </w:r>
          </w:p>
        </w:tc>
        <w:tc>
          <w:tcPr>
            <w:tcW w:w="2337" w:type="dxa"/>
            <w:vAlign w:val="center"/>
          </w:tcPr>
          <w:p w14:paraId="6F57AFC7" w14:textId="0D622CDA" w:rsidR="00044D91" w:rsidRDefault="00044D91" w:rsidP="00044D91">
            <w:pPr>
              <w:jc w:val="center"/>
            </w:pPr>
            <w:r w:rsidRPr="0066616E">
              <w:rPr>
                <w:sz w:val="18"/>
                <w:szCs w:val="18"/>
              </w:rPr>
              <w:t>123</w:t>
            </w:r>
          </w:p>
        </w:tc>
        <w:tc>
          <w:tcPr>
            <w:tcW w:w="2161" w:type="dxa"/>
            <w:vAlign w:val="center"/>
          </w:tcPr>
          <w:p w14:paraId="11FF5623" w14:textId="0A5F5967" w:rsidR="00044D91" w:rsidRDefault="00044D91" w:rsidP="00044D91">
            <w:pPr>
              <w:jc w:val="center"/>
            </w:pPr>
            <w:r w:rsidRPr="0066616E">
              <w:rPr>
                <w:sz w:val="18"/>
                <w:szCs w:val="18"/>
              </w:rPr>
              <w:t>-1.009</w:t>
            </w:r>
          </w:p>
        </w:tc>
        <w:tc>
          <w:tcPr>
            <w:tcW w:w="2515" w:type="dxa"/>
            <w:vAlign w:val="center"/>
          </w:tcPr>
          <w:p w14:paraId="0B984579" w14:textId="06F56C5C" w:rsidR="00044D91" w:rsidRDefault="00044D91" w:rsidP="00044D91">
            <w:pPr>
              <w:jc w:val="center"/>
            </w:pPr>
            <w:r w:rsidRPr="0066616E">
              <w:rPr>
                <w:sz w:val="18"/>
                <w:szCs w:val="18"/>
              </w:rPr>
              <w:t>-0.428</w:t>
            </w:r>
          </w:p>
        </w:tc>
      </w:tr>
      <w:tr w:rsidR="00044D91" w14:paraId="189E091A" w14:textId="77777777" w:rsidTr="000C2FB1">
        <w:trPr>
          <w:trHeight w:val="317"/>
        </w:trPr>
        <w:tc>
          <w:tcPr>
            <w:tcW w:w="9350" w:type="dxa"/>
            <w:gridSpan w:val="4"/>
            <w:vAlign w:val="center"/>
          </w:tcPr>
          <w:p w14:paraId="4EAB31B0" w14:textId="78255173" w:rsidR="00044D91" w:rsidRDefault="00044D91" w:rsidP="00044D91">
            <w:pPr>
              <w:jc w:val="center"/>
            </w:pPr>
            <w:r w:rsidRPr="0056185B">
              <w:rPr>
                <w:i/>
                <w:iCs/>
                <w:sz w:val="20"/>
                <w:szCs w:val="20"/>
              </w:rPr>
              <w:t>D.C. Virgo Preparatory Academy</w:t>
            </w:r>
          </w:p>
        </w:tc>
      </w:tr>
      <w:tr w:rsidR="00853A6F" w14:paraId="1EB8F1A2" w14:textId="77777777" w:rsidTr="000C2FB1">
        <w:trPr>
          <w:trHeight w:val="317"/>
        </w:trPr>
        <w:tc>
          <w:tcPr>
            <w:tcW w:w="2337" w:type="dxa"/>
            <w:vAlign w:val="center"/>
          </w:tcPr>
          <w:p w14:paraId="01CFEDF6" w14:textId="1D3D436C" w:rsidR="00853A6F" w:rsidRDefault="00853A6F" w:rsidP="00853A6F">
            <w:pPr>
              <w:jc w:val="right"/>
            </w:pPr>
            <w:r w:rsidRPr="0066616E">
              <w:rPr>
                <w:sz w:val="18"/>
                <w:szCs w:val="18"/>
              </w:rPr>
              <w:t>Reading (3-5)</w:t>
            </w:r>
          </w:p>
        </w:tc>
        <w:tc>
          <w:tcPr>
            <w:tcW w:w="2337" w:type="dxa"/>
            <w:vAlign w:val="center"/>
          </w:tcPr>
          <w:p w14:paraId="20E89CBC" w14:textId="7B19D5D8" w:rsidR="00853A6F" w:rsidRPr="00545F2A" w:rsidRDefault="0062276A" w:rsidP="00853A6F">
            <w:pPr>
              <w:jc w:val="center"/>
              <w:rPr>
                <w:sz w:val="18"/>
                <w:szCs w:val="18"/>
              </w:rPr>
            </w:pPr>
            <w:r>
              <w:rPr>
                <w:sz w:val="18"/>
                <w:szCs w:val="18"/>
              </w:rPr>
              <w:t>49</w:t>
            </w:r>
          </w:p>
        </w:tc>
        <w:tc>
          <w:tcPr>
            <w:tcW w:w="2161" w:type="dxa"/>
            <w:vAlign w:val="center"/>
          </w:tcPr>
          <w:p w14:paraId="16D18BC7" w14:textId="53A05193" w:rsidR="00853A6F" w:rsidRPr="00545F2A" w:rsidRDefault="0062276A" w:rsidP="00853A6F">
            <w:pPr>
              <w:jc w:val="center"/>
              <w:rPr>
                <w:sz w:val="18"/>
                <w:szCs w:val="18"/>
              </w:rPr>
            </w:pPr>
            <w:r>
              <w:rPr>
                <w:sz w:val="18"/>
                <w:szCs w:val="18"/>
              </w:rPr>
              <w:t>-0.733</w:t>
            </w:r>
          </w:p>
        </w:tc>
        <w:tc>
          <w:tcPr>
            <w:tcW w:w="2515" w:type="dxa"/>
            <w:vAlign w:val="center"/>
          </w:tcPr>
          <w:p w14:paraId="7FEC139A" w14:textId="51B703E3" w:rsidR="00853A6F" w:rsidRPr="00545F2A" w:rsidRDefault="0062276A" w:rsidP="00853A6F">
            <w:pPr>
              <w:jc w:val="center"/>
              <w:rPr>
                <w:sz w:val="18"/>
                <w:szCs w:val="18"/>
              </w:rPr>
            </w:pPr>
            <w:r>
              <w:rPr>
                <w:sz w:val="18"/>
                <w:szCs w:val="18"/>
              </w:rPr>
              <w:t>-0.603</w:t>
            </w:r>
          </w:p>
        </w:tc>
      </w:tr>
      <w:tr w:rsidR="00853A6F" w14:paraId="16280DF1" w14:textId="77777777" w:rsidTr="000C2FB1">
        <w:trPr>
          <w:trHeight w:val="317"/>
        </w:trPr>
        <w:tc>
          <w:tcPr>
            <w:tcW w:w="2337" w:type="dxa"/>
            <w:vAlign w:val="center"/>
          </w:tcPr>
          <w:p w14:paraId="381AA2E7" w14:textId="52505210" w:rsidR="00853A6F" w:rsidRDefault="00853A6F" w:rsidP="00853A6F">
            <w:pPr>
              <w:jc w:val="right"/>
            </w:pPr>
            <w:r w:rsidRPr="0066616E">
              <w:rPr>
                <w:sz w:val="18"/>
                <w:szCs w:val="18"/>
              </w:rPr>
              <w:t>Math (4-5)</w:t>
            </w:r>
          </w:p>
        </w:tc>
        <w:tc>
          <w:tcPr>
            <w:tcW w:w="2337" w:type="dxa"/>
            <w:vAlign w:val="center"/>
          </w:tcPr>
          <w:p w14:paraId="70E84398" w14:textId="49C5E71F" w:rsidR="00853A6F" w:rsidRPr="00545F2A" w:rsidRDefault="00545F2A" w:rsidP="00853A6F">
            <w:pPr>
              <w:jc w:val="center"/>
              <w:rPr>
                <w:sz w:val="18"/>
                <w:szCs w:val="18"/>
              </w:rPr>
            </w:pPr>
            <w:r w:rsidRPr="00545F2A">
              <w:rPr>
                <w:sz w:val="18"/>
                <w:szCs w:val="18"/>
              </w:rPr>
              <w:t>39</w:t>
            </w:r>
          </w:p>
        </w:tc>
        <w:tc>
          <w:tcPr>
            <w:tcW w:w="2161" w:type="dxa"/>
            <w:vAlign w:val="center"/>
          </w:tcPr>
          <w:p w14:paraId="19760998" w14:textId="00D4DC4B" w:rsidR="00853A6F" w:rsidRPr="00545F2A" w:rsidRDefault="00545F2A" w:rsidP="00853A6F">
            <w:pPr>
              <w:jc w:val="center"/>
              <w:rPr>
                <w:sz w:val="18"/>
                <w:szCs w:val="18"/>
              </w:rPr>
            </w:pPr>
            <w:r>
              <w:rPr>
                <w:sz w:val="18"/>
                <w:szCs w:val="18"/>
              </w:rPr>
              <w:t>-0.785</w:t>
            </w:r>
          </w:p>
        </w:tc>
        <w:tc>
          <w:tcPr>
            <w:tcW w:w="2515" w:type="dxa"/>
            <w:vAlign w:val="center"/>
          </w:tcPr>
          <w:p w14:paraId="605ACAEF" w14:textId="4F1315AD" w:rsidR="00853A6F" w:rsidRPr="00545F2A" w:rsidRDefault="00545F2A" w:rsidP="00853A6F">
            <w:pPr>
              <w:jc w:val="center"/>
              <w:rPr>
                <w:sz w:val="18"/>
                <w:szCs w:val="18"/>
              </w:rPr>
            </w:pPr>
            <w:r>
              <w:rPr>
                <w:sz w:val="18"/>
                <w:szCs w:val="18"/>
              </w:rPr>
              <w:t>-0.476</w:t>
            </w:r>
          </w:p>
        </w:tc>
      </w:tr>
      <w:tr w:rsidR="00853A6F" w14:paraId="5E12F7CC" w14:textId="77777777" w:rsidTr="000C2FB1">
        <w:trPr>
          <w:trHeight w:val="317"/>
        </w:trPr>
        <w:tc>
          <w:tcPr>
            <w:tcW w:w="2337" w:type="dxa"/>
            <w:vAlign w:val="center"/>
          </w:tcPr>
          <w:p w14:paraId="19AB853C" w14:textId="3909EFEE" w:rsidR="00853A6F" w:rsidRDefault="00853A6F" w:rsidP="00853A6F">
            <w:pPr>
              <w:jc w:val="right"/>
            </w:pPr>
            <w:r w:rsidRPr="0066616E">
              <w:rPr>
                <w:sz w:val="18"/>
                <w:szCs w:val="18"/>
              </w:rPr>
              <w:t>Reading (</w:t>
            </w:r>
            <w:r w:rsidR="00382EEF">
              <w:rPr>
                <w:sz w:val="18"/>
                <w:szCs w:val="18"/>
              </w:rPr>
              <w:t>6-8</w:t>
            </w:r>
            <w:r w:rsidRPr="0066616E">
              <w:rPr>
                <w:sz w:val="18"/>
                <w:szCs w:val="18"/>
              </w:rPr>
              <w:t>)</w:t>
            </w:r>
          </w:p>
        </w:tc>
        <w:tc>
          <w:tcPr>
            <w:tcW w:w="2337" w:type="dxa"/>
            <w:vAlign w:val="center"/>
          </w:tcPr>
          <w:p w14:paraId="6423087D" w14:textId="7493B0A4" w:rsidR="00853A6F" w:rsidRPr="00545F2A" w:rsidRDefault="0062276A" w:rsidP="00853A6F">
            <w:pPr>
              <w:jc w:val="center"/>
              <w:rPr>
                <w:sz w:val="18"/>
                <w:szCs w:val="18"/>
              </w:rPr>
            </w:pPr>
            <w:r>
              <w:rPr>
                <w:sz w:val="18"/>
                <w:szCs w:val="18"/>
              </w:rPr>
              <w:t>97</w:t>
            </w:r>
          </w:p>
        </w:tc>
        <w:tc>
          <w:tcPr>
            <w:tcW w:w="2161" w:type="dxa"/>
            <w:vAlign w:val="center"/>
          </w:tcPr>
          <w:p w14:paraId="2F099E5E" w14:textId="0FE2F50A" w:rsidR="00853A6F" w:rsidRPr="00545F2A" w:rsidRDefault="0062276A" w:rsidP="00853A6F">
            <w:pPr>
              <w:jc w:val="center"/>
              <w:rPr>
                <w:sz w:val="18"/>
                <w:szCs w:val="18"/>
              </w:rPr>
            </w:pPr>
            <w:r>
              <w:rPr>
                <w:sz w:val="18"/>
                <w:szCs w:val="18"/>
              </w:rPr>
              <w:t>-0.657</w:t>
            </w:r>
          </w:p>
        </w:tc>
        <w:tc>
          <w:tcPr>
            <w:tcW w:w="2515" w:type="dxa"/>
            <w:vAlign w:val="center"/>
          </w:tcPr>
          <w:p w14:paraId="1F0D58C3" w14:textId="1A7D28B6" w:rsidR="00853A6F" w:rsidRPr="00545F2A" w:rsidRDefault="0062276A" w:rsidP="00853A6F">
            <w:pPr>
              <w:jc w:val="center"/>
              <w:rPr>
                <w:sz w:val="18"/>
                <w:szCs w:val="18"/>
              </w:rPr>
            </w:pPr>
            <w:r>
              <w:rPr>
                <w:sz w:val="18"/>
                <w:szCs w:val="18"/>
              </w:rPr>
              <w:t>-0.527</w:t>
            </w:r>
          </w:p>
        </w:tc>
      </w:tr>
      <w:tr w:rsidR="00853A6F" w14:paraId="07860409" w14:textId="77777777" w:rsidTr="000C2FB1">
        <w:trPr>
          <w:trHeight w:val="317"/>
        </w:trPr>
        <w:tc>
          <w:tcPr>
            <w:tcW w:w="2337" w:type="dxa"/>
            <w:vAlign w:val="center"/>
          </w:tcPr>
          <w:p w14:paraId="6B8954AB" w14:textId="3FCBDF44" w:rsidR="00853A6F" w:rsidRDefault="00853A6F" w:rsidP="00853A6F">
            <w:pPr>
              <w:jc w:val="right"/>
            </w:pPr>
            <w:r w:rsidRPr="0066616E">
              <w:rPr>
                <w:sz w:val="18"/>
                <w:szCs w:val="18"/>
              </w:rPr>
              <w:t>Math (</w:t>
            </w:r>
            <w:r w:rsidR="00382EEF">
              <w:rPr>
                <w:sz w:val="18"/>
                <w:szCs w:val="18"/>
              </w:rPr>
              <w:t>6-8</w:t>
            </w:r>
            <w:r w:rsidRPr="0066616E">
              <w:rPr>
                <w:sz w:val="18"/>
                <w:szCs w:val="18"/>
              </w:rPr>
              <w:t>)</w:t>
            </w:r>
          </w:p>
        </w:tc>
        <w:tc>
          <w:tcPr>
            <w:tcW w:w="2337" w:type="dxa"/>
            <w:vAlign w:val="center"/>
          </w:tcPr>
          <w:p w14:paraId="0E82071B" w14:textId="0F6010A8" w:rsidR="00853A6F" w:rsidRPr="00545F2A" w:rsidRDefault="00545F2A" w:rsidP="00853A6F">
            <w:pPr>
              <w:jc w:val="center"/>
              <w:rPr>
                <w:sz w:val="18"/>
                <w:szCs w:val="18"/>
              </w:rPr>
            </w:pPr>
            <w:r>
              <w:rPr>
                <w:sz w:val="18"/>
                <w:szCs w:val="18"/>
              </w:rPr>
              <w:t>97</w:t>
            </w:r>
          </w:p>
        </w:tc>
        <w:tc>
          <w:tcPr>
            <w:tcW w:w="2161" w:type="dxa"/>
            <w:vAlign w:val="center"/>
          </w:tcPr>
          <w:p w14:paraId="2D574856" w14:textId="45F59BF8" w:rsidR="00853A6F" w:rsidRPr="00545F2A" w:rsidRDefault="00545F2A" w:rsidP="00853A6F">
            <w:pPr>
              <w:jc w:val="center"/>
              <w:rPr>
                <w:sz w:val="18"/>
                <w:szCs w:val="18"/>
              </w:rPr>
            </w:pPr>
            <w:r>
              <w:rPr>
                <w:sz w:val="18"/>
                <w:szCs w:val="18"/>
              </w:rPr>
              <w:t>-0.608</w:t>
            </w:r>
          </w:p>
        </w:tc>
        <w:tc>
          <w:tcPr>
            <w:tcW w:w="2515" w:type="dxa"/>
            <w:vAlign w:val="center"/>
          </w:tcPr>
          <w:p w14:paraId="087EE78F" w14:textId="104FD3EC" w:rsidR="00853A6F" w:rsidRPr="00545F2A" w:rsidRDefault="00545F2A" w:rsidP="00853A6F">
            <w:pPr>
              <w:jc w:val="center"/>
              <w:rPr>
                <w:sz w:val="18"/>
                <w:szCs w:val="18"/>
              </w:rPr>
            </w:pPr>
            <w:r>
              <w:rPr>
                <w:sz w:val="18"/>
                <w:szCs w:val="18"/>
              </w:rPr>
              <w:t>-0.736</w:t>
            </w:r>
          </w:p>
        </w:tc>
      </w:tr>
    </w:tbl>
    <w:p w14:paraId="18B9277A" w14:textId="0B5C74A7" w:rsidR="00044D91" w:rsidRDefault="00044D91" w:rsidP="00044D91">
      <w:pPr>
        <w:spacing w:after="0" w:line="240" w:lineRule="auto"/>
        <w:jc w:val="both"/>
        <w:rPr>
          <w:szCs w:val="32"/>
        </w:rPr>
      </w:pPr>
      <w:r>
        <w:rPr>
          <w:sz w:val="16"/>
        </w:rPr>
        <w:t>Note: For the Academy</w:t>
      </w:r>
      <w:r w:rsidR="005F2358">
        <w:rPr>
          <w:sz w:val="16"/>
        </w:rPr>
        <w:t xml:space="preserve"> at Middle Fork</w:t>
      </w:r>
      <w:r>
        <w:rPr>
          <w:sz w:val="16"/>
        </w:rPr>
        <w:t>, Moss Street Partnership School, and D.C. Virgo Preparatory Academy, this table presents students’ EOG test scores (standardized) in 2018-19 and their prior scores (standardized) from the same subject-area (reading or math) in the 2017-18 school year. Not all laboratory school students have test scores in both periods.</w:t>
      </w:r>
    </w:p>
    <w:p w14:paraId="53C9524F" w14:textId="70E82113" w:rsidR="00221315" w:rsidRDefault="00221315" w:rsidP="00044D91">
      <w:pPr>
        <w:spacing w:after="0" w:line="240" w:lineRule="auto"/>
        <w:jc w:val="both"/>
        <w:rPr>
          <w:szCs w:val="32"/>
        </w:rPr>
      </w:pPr>
    </w:p>
    <w:p w14:paraId="6D6E7529" w14:textId="307E954B" w:rsidR="0007396F" w:rsidRDefault="0007396F" w:rsidP="0007396F">
      <w:pPr>
        <w:spacing w:after="0" w:line="240" w:lineRule="auto"/>
        <w:jc w:val="both"/>
        <w:rPr>
          <w:szCs w:val="32"/>
        </w:rPr>
      </w:pPr>
      <w:r>
        <w:rPr>
          <w:szCs w:val="32"/>
        </w:rPr>
        <w:t>Table 4 presents test score comparisons for the two laboratory schools in their second year of operation in 2018-19—the ECU Community School and The Catamount School</w:t>
      </w:r>
      <w:r w:rsidR="00D0548E">
        <w:rPr>
          <w:szCs w:val="32"/>
        </w:rPr>
        <w:t xml:space="preserve"> (WCU)</w:t>
      </w:r>
      <w:r>
        <w:rPr>
          <w:szCs w:val="32"/>
        </w:rPr>
        <w:t xml:space="preserve">. For the ECU Community School, these data indicate that students’ placement in the test score distribution improved in 2018-19, relative to 2017-18. Conversely, scores from The Catamount School show that students’ placement in the test score distribution in 2018-19 was lower than in 2017-18. </w:t>
      </w:r>
      <w:r w:rsidR="00124C58">
        <w:rPr>
          <w:szCs w:val="32"/>
        </w:rPr>
        <w:t>(S</w:t>
      </w:r>
      <w:r>
        <w:rPr>
          <w:szCs w:val="32"/>
        </w:rPr>
        <w:t>ee Appendix Table A5.7 for further detail on these current year (2018-19) and prior year (2017-18) test score comparisons at each grade level.</w:t>
      </w:r>
      <w:r w:rsidR="00124C58">
        <w:rPr>
          <w:szCs w:val="32"/>
        </w:rPr>
        <w:t>)</w:t>
      </w:r>
    </w:p>
    <w:p w14:paraId="1449C746" w14:textId="77777777" w:rsidR="0007396F" w:rsidRDefault="0007396F" w:rsidP="00044D91">
      <w:pPr>
        <w:spacing w:after="0" w:line="240" w:lineRule="auto"/>
        <w:jc w:val="both"/>
        <w:rPr>
          <w:szCs w:val="32"/>
        </w:rPr>
      </w:pPr>
    </w:p>
    <w:p w14:paraId="34575856" w14:textId="11291E6B" w:rsidR="0007396F" w:rsidRDefault="0007396F" w:rsidP="0007396F">
      <w:pPr>
        <w:spacing w:after="0" w:line="240" w:lineRule="auto"/>
        <w:jc w:val="both"/>
        <w:rPr>
          <w:iCs/>
        </w:rPr>
      </w:pPr>
      <w:r>
        <w:rPr>
          <w:iCs/>
        </w:rPr>
        <w:t>The data in Table 4 come from two different types of students: (1) those in their first-year at the ECU Community School or The Catamount School, meaning their 2017-18 test scores are prior to their attendance at a laboratory school and (2) those in the second-year at the ECU Community School or The Catamount School, meaning their 2017-18 test scores are also from the laboratory school. To better examine the test score trajectories of this latter group, Figures 1 and 2 display test score data from 2016-17, 2017-18, and 2018-19. This provides one year of test score data prior to their laboratory school enrollment and two years of test score data from the laboratory school. Data from the ECU Community School show a drop in reading and math scores in 2017-18, followed by a rise in those scores in 2018-19. Data from The Catamount School shows that reading scores were initially flat and fell in 2018-19; math scores fell between each school year.</w:t>
      </w:r>
    </w:p>
    <w:p w14:paraId="7180A0D8" w14:textId="77777777" w:rsidR="00CA6F0E" w:rsidRDefault="00CA6F0E" w:rsidP="0007396F">
      <w:pPr>
        <w:spacing w:after="0" w:line="240" w:lineRule="auto"/>
        <w:jc w:val="both"/>
        <w:rPr>
          <w:iCs/>
        </w:rPr>
      </w:pPr>
    </w:p>
    <w:p w14:paraId="26D1F3EC" w14:textId="77777777" w:rsidR="000B1EE4" w:rsidRDefault="000B1EE4" w:rsidP="00221315">
      <w:pPr>
        <w:spacing w:after="0" w:line="240" w:lineRule="auto"/>
        <w:jc w:val="both"/>
        <w:rPr>
          <w:i/>
        </w:rPr>
      </w:pPr>
    </w:p>
    <w:p w14:paraId="669A9DED" w14:textId="77777777" w:rsidR="000B1EE4" w:rsidRDefault="000B1EE4" w:rsidP="00221315">
      <w:pPr>
        <w:spacing w:after="0" w:line="240" w:lineRule="auto"/>
        <w:jc w:val="both"/>
        <w:rPr>
          <w:i/>
        </w:rPr>
      </w:pPr>
    </w:p>
    <w:p w14:paraId="02FE49EE" w14:textId="77777777" w:rsidR="000B1EE4" w:rsidRDefault="000B1EE4" w:rsidP="00221315">
      <w:pPr>
        <w:spacing w:after="0" w:line="240" w:lineRule="auto"/>
        <w:jc w:val="both"/>
        <w:rPr>
          <w:i/>
        </w:rPr>
      </w:pPr>
    </w:p>
    <w:p w14:paraId="37871291" w14:textId="77777777" w:rsidR="000B1EE4" w:rsidRDefault="000B1EE4" w:rsidP="00221315">
      <w:pPr>
        <w:spacing w:after="0" w:line="240" w:lineRule="auto"/>
        <w:jc w:val="both"/>
        <w:rPr>
          <w:i/>
        </w:rPr>
      </w:pPr>
    </w:p>
    <w:p w14:paraId="584FFC01" w14:textId="77777777" w:rsidR="000B1EE4" w:rsidRDefault="000B1EE4" w:rsidP="00221315">
      <w:pPr>
        <w:spacing w:after="0" w:line="240" w:lineRule="auto"/>
        <w:jc w:val="both"/>
        <w:rPr>
          <w:i/>
        </w:rPr>
      </w:pPr>
    </w:p>
    <w:p w14:paraId="4489B9DB" w14:textId="77777777" w:rsidR="000B1EE4" w:rsidRDefault="000B1EE4" w:rsidP="00221315">
      <w:pPr>
        <w:spacing w:after="0" w:line="240" w:lineRule="auto"/>
        <w:jc w:val="both"/>
        <w:rPr>
          <w:i/>
        </w:rPr>
      </w:pPr>
    </w:p>
    <w:p w14:paraId="47287697" w14:textId="77777777" w:rsidR="000B1EE4" w:rsidRDefault="000B1EE4" w:rsidP="00221315">
      <w:pPr>
        <w:spacing w:after="0" w:line="240" w:lineRule="auto"/>
        <w:jc w:val="both"/>
        <w:rPr>
          <w:i/>
        </w:rPr>
      </w:pPr>
    </w:p>
    <w:p w14:paraId="007A13D4" w14:textId="77777777" w:rsidR="000B1EE4" w:rsidRDefault="000B1EE4" w:rsidP="00221315">
      <w:pPr>
        <w:spacing w:after="0" w:line="240" w:lineRule="auto"/>
        <w:jc w:val="both"/>
        <w:rPr>
          <w:i/>
        </w:rPr>
      </w:pPr>
    </w:p>
    <w:p w14:paraId="360656DD" w14:textId="765A479C" w:rsidR="00221315" w:rsidRDefault="00221315" w:rsidP="00221315">
      <w:pPr>
        <w:spacing w:after="0" w:line="240" w:lineRule="auto"/>
        <w:jc w:val="both"/>
        <w:rPr>
          <w:i/>
        </w:rPr>
      </w:pPr>
      <w:r w:rsidRPr="00037B20">
        <w:rPr>
          <w:i/>
        </w:rPr>
        <w:lastRenderedPageBreak/>
        <w:t xml:space="preserve">Table </w:t>
      </w:r>
      <w:r>
        <w:rPr>
          <w:i/>
        </w:rPr>
        <w:t>4</w:t>
      </w:r>
      <w:r w:rsidRPr="00037B20">
        <w:rPr>
          <w:i/>
        </w:rPr>
        <w:t xml:space="preserve">:  </w:t>
      </w:r>
      <w:r w:rsidRPr="00037B20">
        <w:t xml:space="preserve"> </w:t>
      </w:r>
      <w:r w:rsidRPr="00037B20">
        <w:rPr>
          <w:i/>
        </w:rPr>
        <w:t>Comparing</w:t>
      </w:r>
      <w:r>
        <w:rPr>
          <w:i/>
        </w:rPr>
        <w:t xml:space="preserve"> Test Score Data in 2018-19 and 2017-18 for Laboratory School Students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7"/>
        <w:gridCol w:w="2337"/>
        <w:gridCol w:w="2161"/>
        <w:gridCol w:w="2515"/>
      </w:tblGrid>
      <w:tr w:rsidR="00221315" w14:paraId="388B8F5D" w14:textId="77777777" w:rsidTr="000C2FB1">
        <w:trPr>
          <w:trHeight w:val="317"/>
        </w:trPr>
        <w:tc>
          <w:tcPr>
            <w:tcW w:w="2337" w:type="dxa"/>
            <w:shd w:val="clear" w:color="auto" w:fill="F2F2F2" w:themeFill="background1" w:themeFillShade="F2"/>
            <w:vAlign w:val="center"/>
          </w:tcPr>
          <w:p w14:paraId="2C3F3527" w14:textId="77777777" w:rsidR="00221315" w:rsidRPr="00851BC8" w:rsidRDefault="00221315" w:rsidP="000C2FB1">
            <w:pPr>
              <w:jc w:val="center"/>
            </w:pPr>
            <w:r w:rsidRPr="00851BC8">
              <w:t>Test</w:t>
            </w:r>
          </w:p>
        </w:tc>
        <w:tc>
          <w:tcPr>
            <w:tcW w:w="2337" w:type="dxa"/>
            <w:shd w:val="clear" w:color="auto" w:fill="F2F2F2" w:themeFill="background1" w:themeFillShade="F2"/>
            <w:vAlign w:val="center"/>
          </w:tcPr>
          <w:p w14:paraId="0FE6DCFB" w14:textId="77777777" w:rsidR="00221315" w:rsidRPr="00851BC8" w:rsidRDefault="00221315" w:rsidP="000C2FB1">
            <w:pPr>
              <w:jc w:val="center"/>
            </w:pPr>
            <w:r w:rsidRPr="00851BC8">
              <w:t xml:space="preserve">Count of Students with Test Data in </w:t>
            </w:r>
            <w:r w:rsidRPr="00A76901">
              <w:rPr>
                <w:b/>
                <w:u w:val="single"/>
              </w:rPr>
              <w:t>Both</w:t>
            </w:r>
            <w:r w:rsidRPr="00851BC8">
              <w:t xml:space="preserve"> Periods</w:t>
            </w:r>
          </w:p>
        </w:tc>
        <w:tc>
          <w:tcPr>
            <w:tcW w:w="2161" w:type="dxa"/>
            <w:shd w:val="clear" w:color="auto" w:fill="F2F2F2" w:themeFill="background1" w:themeFillShade="F2"/>
            <w:vAlign w:val="center"/>
          </w:tcPr>
          <w:p w14:paraId="26B84B6C" w14:textId="77777777" w:rsidR="00221315" w:rsidRPr="00851BC8" w:rsidRDefault="00221315" w:rsidP="000C2FB1">
            <w:pPr>
              <w:jc w:val="center"/>
            </w:pPr>
            <w:r w:rsidRPr="00851BC8">
              <w:t>201</w:t>
            </w:r>
            <w:r>
              <w:t>8-19</w:t>
            </w:r>
            <w:r w:rsidRPr="00851BC8">
              <w:t xml:space="preserve"> Test Score</w:t>
            </w:r>
          </w:p>
          <w:p w14:paraId="07323798" w14:textId="77777777" w:rsidR="00221315" w:rsidRPr="00851BC8" w:rsidRDefault="00221315" w:rsidP="000C2FB1">
            <w:pPr>
              <w:jc w:val="center"/>
            </w:pPr>
            <w:r w:rsidRPr="00851BC8">
              <w:t>(Standardized)</w:t>
            </w:r>
          </w:p>
        </w:tc>
        <w:tc>
          <w:tcPr>
            <w:tcW w:w="2515" w:type="dxa"/>
            <w:shd w:val="clear" w:color="auto" w:fill="F2F2F2" w:themeFill="background1" w:themeFillShade="F2"/>
            <w:vAlign w:val="center"/>
          </w:tcPr>
          <w:p w14:paraId="2C8B6F07" w14:textId="77777777" w:rsidR="00221315" w:rsidRPr="00851BC8" w:rsidRDefault="00221315" w:rsidP="000C2FB1">
            <w:pPr>
              <w:jc w:val="center"/>
            </w:pPr>
            <w:r w:rsidRPr="00851BC8">
              <w:t>Prior Year (2017</w:t>
            </w:r>
            <w:r>
              <w:t>-18</w:t>
            </w:r>
            <w:r w:rsidRPr="00851BC8">
              <w:t>) Test Score in the Same Subject-Area</w:t>
            </w:r>
          </w:p>
          <w:p w14:paraId="7C2F2AD8" w14:textId="77777777" w:rsidR="00221315" w:rsidRPr="00851BC8" w:rsidRDefault="00221315" w:rsidP="000C2FB1">
            <w:pPr>
              <w:jc w:val="center"/>
            </w:pPr>
            <w:r w:rsidRPr="00851BC8">
              <w:t>(Standardized)</w:t>
            </w:r>
          </w:p>
        </w:tc>
      </w:tr>
      <w:tr w:rsidR="00221315" w14:paraId="0BDF232E" w14:textId="77777777" w:rsidTr="000C2FB1">
        <w:trPr>
          <w:trHeight w:val="317"/>
        </w:trPr>
        <w:tc>
          <w:tcPr>
            <w:tcW w:w="9350" w:type="dxa"/>
            <w:gridSpan w:val="4"/>
            <w:vAlign w:val="center"/>
          </w:tcPr>
          <w:p w14:paraId="5D07B607" w14:textId="72C93C7F" w:rsidR="00221315" w:rsidRPr="00851BC8" w:rsidRDefault="00221315" w:rsidP="000C2FB1">
            <w:pPr>
              <w:jc w:val="center"/>
              <w:rPr>
                <w:i/>
              </w:rPr>
            </w:pPr>
            <w:r>
              <w:rPr>
                <w:i/>
              </w:rPr>
              <w:t>ECU Community School</w:t>
            </w:r>
          </w:p>
        </w:tc>
      </w:tr>
      <w:tr w:rsidR="00221315" w14:paraId="3AD46647" w14:textId="77777777" w:rsidTr="000C2FB1">
        <w:trPr>
          <w:trHeight w:val="317"/>
        </w:trPr>
        <w:tc>
          <w:tcPr>
            <w:tcW w:w="2337" w:type="dxa"/>
            <w:vAlign w:val="center"/>
          </w:tcPr>
          <w:p w14:paraId="0A556020" w14:textId="3C04468B" w:rsidR="00221315" w:rsidRDefault="00221315" w:rsidP="00221315">
            <w:pPr>
              <w:jc w:val="right"/>
            </w:pPr>
            <w:r w:rsidRPr="0066616E">
              <w:rPr>
                <w:sz w:val="18"/>
                <w:szCs w:val="18"/>
              </w:rPr>
              <w:t>Reading (</w:t>
            </w:r>
            <w:r>
              <w:rPr>
                <w:sz w:val="18"/>
                <w:szCs w:val="18"/>
              </w:rPr>
              <w:t>4</w:t>
            </w:r>
            <w:r w:rsidRPr="0066616E">
              <w:rPr>
                <w:sz w:val="18"/>
                <w:szCs w:val="18"/>
              </w:rPr>
              <w:t>-5)</w:t>
            </w:r>
            <w:r w:rsidR="00786598">
              <w:rPr>
                <w:rStyle w:val="FootnoteReference"/>
                <w:sz w:val="18"/>
                <w:szCs w:val="18"/>
              </w:rPr>
              <w:footnoteReference w:id="47"/>
            </w:r>
          </w:p>
        </w:tc>
        <w:tc>
          <w:tcPr>
            <w:tcW w:w="2337" w:type="dxa"/>
            <w:vAlign w:val="center"/>
          </w:tcPr>
          <w:p w14:paraId="085558E3" w14:textId="72D666A5" w:rsidR="00221315" w:rsidRDefault="00221315" w:rsidP="00221315">
            <w:pPr>
              <w:jc w:val="center"/>
            </w:pPr>
            <w:r>
              <w:rPr>
                <w:sz w:val="18"/>
                <w:szCs w:val="18"/>
              </w:rPr>
              <w:t>28</w:t>
            </w:r>
          </w:p>
        </w:tc>
        <w:tc>
          <w:tcPr>
            <w:tcW w:w="2161" w:type="dxa"/>
            <w:vAlign w:val="center"/>
          </w:tcPr>
          <w:p w14:paraId="4D3FA4DA" w14:textId="262CCF7D" w:rsidR="00221315" w:rsidRDefault="00221315" w:rsidP="00221315">
            <w:pPr>
              <w:jc w:val="center"/>
            </w:pPr>
            <w:r>
              <w:rPr>
                <w:sz w:val="18"/>
                <w:szCs w:val="18"/>
              </w:rPr>
              <w:t>-0.918</w:t>
            </w:r>
          </w:p>
        </w:tc>
        <w:tc>
          <w:tcPr>
            <w:tcW w:w="2515" w:type="dxa"/>
            <w:vAlign w:val="center"/>
          </w:tcPr>
          <w:p w14:paraId="1DA4155E" w14:textId="2020B884" w:rsidR="00221315" w:rsidRDefault="00221315" w:rsidP="00221315">
            <w:pPr>
              <w:jc w:val="center"/>
            </w:pPr>
            <w:r>
              <w:rPr>
                <w:sz w:val="18"/>
                <w:szCs w:val="18"/>
              </w:rPr>
              <w:t>-1.127</w:t>
            </w:r>
          </w:p>
        </w:tc>
      </w:tr>
      <w:tr w:rsidR="00221315" w14:paraId="059E3EB5" w14:textId="77777777" w:rsidTr="000C2FB1">
        <w:trPr>
          <w:trHeight w:val="317"/>
        </w:trPr>
        <w:tc>
          <w:tcPr>
            <w:tcW w:w="2337" w:type="dxa"/>
            <w:vAlign w:val="center"/>
          </w:tcPr>
          <w:p w14:paraId="0164954D" w14:textId="1A856627" w:rsidR="00221315" w:rsidRDefault="00221315" w:rsidP="00221315">
            <w:pPr>
              <w:jc w:val="right"/>
            </w:pPr>
            <w:r w:rsidRPr="0066616E">
              <w:rPr>
                <w:sz w:val="18"/>
                <w:szCs w:val="18"/>
              </w:rPr>
              <w:t>Math (4-5)</w:t>
            </w:r>
          </w:p>
        </w:tc>
        <w:tc>
          <w:tcPr>
            <w:tcW w:w="2337" w:type="dxa"/>
            <w:vAlign w:val="center"/>
          </w:tcPr>
          <w:p w14:paraId="0AC066D8" w14:textId="0AACA0D7" w:rsidR="00221315" w:rsidRDefault="00221315" w:rsidP="00221315">
            <w:pPr>
              <w:jc w:val="center"/>
            </w:pPr>
            <w:r>
              <w:rPr>
                <w:sz w:val="18"/>
                <w:szCs w:val="18"/>
              </w:rPr>
              <w:t>27</w:t>
            </w:r>
          </w:p>
        </w:tc>
        <w:tc>
          <w:tcPr>
            <w:tcW w:w="2161" w:type="dxa"/>
            <w:vAlign w:val="center"/>
          </w:tcPr>
          <w:p w14:paraId="123624F8" w14:textId="1BA31433" w:rsidR="00221315" w:rsidRDefault="00221315" w:rsidP="00221315">
            <w:pPr>
              <w:jc w:val="center"/>
            </w:pPr>
            <w:r>
              <w:rPr>
                <w:sz w:val="18"/>
                <w:szCs w:val="18"/>
              </w:rPr>
              <w:t>-0.952</w:t>
            </w:r>
          </w:p>
        </w:tc>
        <w:tc>
          <w:tcPr>
            <w:tcW w:w="2515" w:type="dxa"/>
            <w:vAlign w:val="center"/>
          </w:tcPr>
          <w:p w14:paraId="4234FB6C" w14:textId="5A4AB5ED" w:rsidR="00221315" w:rsidRDefault="00221315" w:rsidP="00221315">
            <w:pPr>
              <w:jc w:val="center"/>
            </w:pPr>
            <w:r>
              <w:rPr>
                <w:sz w:val="18"/>
                <w:szCs w:val="18"/>
              </w:rPr>
              <w:t>-1.093</w:t>
            </w:r>
          </w:p>
        </w:tc>
      </w:tr>
      <w:tr w:rsidR="00221315" w14:paraId="62F7C62E" w14:textId="77777777" w:rsidTr="000C2FB1">
        <w:trPr>
          <w:trHeight w:val="317"/>
        </w:trPr>
        <w:tc>
          <w:tcPr>
            <w:tcW w:w="9350" w:type="dxa"/>
            <w:gridSpan w:val="4"/>
            <w:vAlign w:val="center"/>
          </w:tcPr>
          <w:p w14:paraId="22D86718" w14:textId="681ED4F1" w:rsidR="00221315" w:rsidRPr="00D70B66" w:rsidRDefault="00221315" w:rsidP="000C2FB1">
            <w:pPr>
              <w:jc w:val="center"/>
              <w:rPr>
                <w:i/>
              </w:rPr>
            </w:pPr>
            <w:r>
              <w:rPr>
                <w:i/>
                <w:sz w:val="20"/>
                <w:szCs w:val="20"/>
              </w:rPr>
              <w:t>The Catamount School</w:t>
            </w:r>
          </w:p>
        </w:tc>
      </w:tr>
      <w:tr w:rsidR="00221315" w14:paraId="2D198B95" w14:textId="77777777" w:rsidTr="000C2FB1">
        <w:trPr>
          <w:trHeight w:val="317"/>
        </w:trPr>
        <w:tc>
          <w:tcPr>
            <w:tcW w:w="2337" w:type="dxa"/>
            <w:vAlign w:val="center"/>
          </w:tcPr>
          <w:p w14:paraId="567AB0F8" w14:textId="2D11AEA2" w:rsidR="00221315" w:rsidRDefault="00221315" w:rsidP="00221315">
            <w:pPr>
              <w:jc w:val="right"/>
            </w:pPr>
            <w:r w:rsidRPr="0066616E">
              <w:rPr>
                <w:sz w:val="18"/>
                <w:szCs w:val="18"/>
              </w:rPr>
              <w:t>Reading (</w:t>
            </w:r>
            <w:r>
              <w:rPr>
                <w:sz w:val="18"/>
                <w:szCs w:val="18"/>
              </w:rPr>
              <w:t>6-8</w:t>
            </w:r>
            <w:r w:rsidRPr="0066616E">
              <w:rPr>
                <w:sz w:val="18"/>
                <w:szCs w:val="18"/>
              </w:rPr>
              <w:t>)</w:t>
            </w:r>
          </w:p>
        </w:tc>
        <w:tc>
          <w:tcPr>
            <w:tcW w:w="2337" w:type="dxa"/>
            <w:vAlign w:val="center"/>
          </w:tcPr>
          <w:p w14:paraId="3BE40744" w14:textId="1A654AA1" w:rsidR="00221315" w:rsidRDefault="00221315" w:rsidP="00221315">
            <w:pPr>
              <w:jc w:val="center"/>
            </w:pPr>
            <w:r>
              <w:rPr>
                <w:sz w:val="18"/>
                <w:szCs w:val="18"/>
              </w:rPr>
              <w:t>50</w:t>
            </w:r>
          </w:p>
        </w:tc>
        <w:tc>
          <w:tcPr>
            <w:tcW w:w="2161" w:type="dxa"/>
            <w:vAlign w:val="center"/>
          </w:tcPr>
          <w:p w14:paraId="35F78822" w14:textId="3AECCACB" w:rsidR="00221315" w:rsidRDefault="00221315" w:rsidP="00221315">
            <w:pPr>
              <w:jc w:val="center"/>
            </w:pPr>
            <w:r>
              <w:rPr>
                <w:sz w:val="18"/>
                <w:szCs w:val="18"/>
              </w:rPr>
              <w:t>-0.107</w:t>
            </w:r>
          </w:p>
        </w:tc>
        <w:tc>
          <w:tcPr>
            <w:tcW w:w="2515" w:type="dxa"/>
            <w:vAlign w:val="center"/>
          </w:tcPr>
          <w:p w14:paraId="742E3E50" w14:textId="292CB274" w:rsidR="00221315" w:rsidRDefault="00221315" w:rsidP="00221315">
            <w:pPr>
              <w:jc w:val="center"/>
            </w:pPr>
            <w:r>
              <w:rPr>
                <w:sz w:val="18"/>
                <w:szCs w:val="18"/>
              </w:rPr>
              <w:t>0.009</w:t>
            </w:r>
          </w:p>
        </w:tc>
      </w:tr>
      <w:tr w:rsidR="00BD6C85" w14:paraId="48311C4F" w14:textId="77777777" w:rsidTr="000C2FB1">
        <w:trPr>
          <w:trHeight w:val="317"/>
        </w:trPr>
        <w:tc>
          <w:tcPr>
            <w:tcW w:w="2337" w:type="dxa"/>
            <w:vAlign w:val="center"/>
          </w:tcPr>
          <w:p w14:paraId="480CAB2B" w14:textId="616E2204" w:rsidR="00BD6C85" w:rsidRDefault="00BD6C85" w:rsidP="00BD6C85">
            <w:pPr>
              <w:jc w:val="right"/>
            </w:pPr>
            <w:r w:rsidRPr="0066616E">
              <w:rPr>
                <w:sz w:val="18"/>
                <w:szCs w:val="18"/>
              </w:rPr>
              <w:t>Math (</w:t>
            </w:r>
            <w:r>
              <w:rPr>
                <w:sz w:val="18"/>
                <w:szCs w:val="18"/>
              </w:rPr>
              <w:t>6-8</w:t>
            </w:r>
            <w:r w:rsidRPr="0066616E">
              <w:rPr>
                <w:sz w:val="18"/>
                <w:szCs w:val="18"/>
              </w:rPr>
              <w:t>)</w:t>
            </w:r>
            <w:r w:rsidR="009029CA">
              <w:rPr>
                <w:rStyle w:val="FootnoteReference"/>
                <w:sz w:val="18"/>
                <w:szCs w:val="18"/>
              </w:rPr>
              <w:footnoteReference w:id="48"/>
            </w:r>
          </w:p>
        </w:tc>
        <w:tc>
          <w:tcPr>
            <w:tcW w:w="2337" w:type="dxa"/>
            <w:vAlign w:val="center"/>
          </w:tcPr>
          <w:p w14:paraId="290F7ADF" w14:textId="21D49922" w:rsidR="00BD6C85" w:rsidRDefault="00BD6C85" w:rsidP="00BD6C85">
            <w:pPr>
              <w:jc w:val="center"/>
            </w:pPr>
            <w:r>
              <w:rPr>
                <w:sz w:val="18"/>
                <w:szCs w:val="18"/>
              </w:rPr>
              <w:t>42</w:t>
            </w:r>
          </w:p>
        </w:tc>
        <w:tc>
          <w:tcPr>
            <w:tcW w:w="2161" w:type="dxa"/>
            <w:vAlign w:val="center"/>
          </w:tcPr>
          <w:p w14:paraId="51E98637" w14:textId="74036CD0" w:rsidR="00BD6C85" w:rsidRDefault="00BD6C85" w:rsidP="00BD6C85">
            <w:pPr>
              <w:jc w:val="center"/>
            </w:pPr>
            <w:r>
              <w:rPr>
                <w:sz w:val="18"/>
                <w:szCs w:val="18"/>
              </w:rPr>
              <w:t>-0.671</w:t>
            </w:r>
          </w:p>
        </w:tc>
        <w:tc>
          <w:tcPr>
            <w:tcW w:w="2515" w:type="dxa"/>
            <w:vAlign w:val="center"/>
          </w:tcPr>
          <w:p w14:paraId="06CED795" w14:textId="427261FF" w:rsidR="00BD6C85" w:rsidRDefault="00BD6C85" w:rsidP="00BD6C85">
            <w:pPr>
              <w:jc w:val="center"/>
            </w:pPr>
            <w:r>
              <w:rPr>
                <w:sz w:val="18"/>
                <w:szCs w:val="18"/>
              </w:rPr>
              <w:t>-0.409</w:t>
            </w:r>
          </w:p>
        </w:tc>
      </w:tr>
    </w:tbl>
    <w:p w14:paraId="62305114" w14:textId="646A7DB0" w:rsidR="00221315" w:rsidRDefault="00221315" w:rsidP="00221315">
      <w:pPr>
        <w:spacing w:after="0" w:line="240" w:lineRule="auto"/>
        <w:jc w:val="both"/>
        <w:rPr>
          <w:szCs w:val="32"/>
        </w:rPr>
      </w:pPr>
      <w:r>
        <w:rPr>
          <w:sz w:val="16"/>
        </w:rPr>
        <w:t>Note: For the ECU Community School and The Catamount School, this table presents students’ EOG test scores (standardized) in 2018-19 and their prior scores (standardized) from the same subject-area (reading or math) in the 2017-18 school year. Not all laboratory school students have test scores in both periods.</w:t>
      </w:r>
    </w:p>
    <w:p w14:paraId="4307DA68" w14:textId="07E272DD" w:rsidR="005F2358" w:rsidRDefault="005F2358" w:rsidP="00CD6008">
      <w:pPr>
        <w:spacing w:after="0" w:line="240" w:lineRule="auto"/>
        <w:jc w:val="both"/>
        <w:rPr>
          <w:szCs w:val="32"/>
        </w:rPr>
      </w:pPr>
    </w:p>
    <w:p w14:paraId="078BD479" w14:textId="72410273" w:rsidR="000C2FB1" w:rsidRPr="000C2FB1" w:rsidRDefault="000C2FB1" w:rsidP="00CD6008">
      <w:pPr>
        <w:spacing w:after="0" w:line="240" w:lineRule="auto"/>
        <w:jc w:val="both"/>
        <w:rPr>
          <w:i/>
        </w:rPr>
      </w:pPr>
      <w:r>
        <w:rPr>
          <w:i/>
        </w:rPr>
        <w:t>Figure 1: Test Score Trajectories at the ECU Community School—2017, 2018, and 2019</w:t>
      </w:r>
    </w:p>
    <w:p w14:paraId="5BF2D05D" w14:textId="19E1A030" w:rsidR="000C2FB1" w:rsidRDefault="000C2FB1" w:rsidP="00CD6008">
      <w:pPr>
        <w:spacing w:after="0" w:line="240" w:lineRule="auto"/>
        <w:jc w:val="both"/>
        <w:rPr>
          <w:iCs/>
        </w:rPr>
      </w:pPr>
      <w:r>
        <w:rPr>
          <w:iCs/>
          <w:noProof/>
        </w:rPr>
        <w:drawing>
          <wp:inline distT="0" distB="0" distL="0" distR="0" wp14:anchorId="628240EB" wp14:editId="7E421C2D">
            <wp:extent cx="59436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16F15F2" w14:textId="0D71D3F5" w:rsidR="000C2FB1" w:rsidRPr="000C2FB1" w:rsidRDefault="000C2FB1" w:rsidP="000C2FB1">
      <w:pPr>
        <w:spacing w:after="0" w:line="240" w:lineRule="auto"/>
        <w:jc w:val="both"/>
        <w:rPr>
          <w:szCs w:val="32"/>
        </w:rPr>
      </w:pPr>
      <w:r>
        <w:rPr>
          <w:sz w:val="16"/>
        </w:rPr>
        <w:t>Note: For the ECU Community School, this figure displays test score trajectories in reading and math for the cohort of students that was in 3</w:t>
      </w:r>
      <w:r w:rsidRPr="000C2FB1">
        <w:rPr>
          <w:sz w:val="16"/>
          <w:vertAlign w:val="superscript"/>
        </w:rPr>
        <w:t>rd</w:t>
      </w:r>
      <w:r>
        <w:rPr>
          <w:sz w:val="16"/>
        </w:rPr>
        <w:t xml:space="preserve"> grade in 2016-17, 4</w:t>
      </w:r>
      <w:r w:rsidRPr="000C2FB1">
        <w:rPr>
          <w:sz w:val="16"/>
          <w:vertAlign w:val="superscript"/>
        </w:rPr>
        <w:t>th</w:t>
      </w:r>
      <w:r>
        <w:rPr>
          <w:sz w:val="16"/>
        </w:rPr>
        <w:t xml:space="preserve"> grade in 2017-18, and 5</w:t>
      </w:r>
      <w:r w:rsidRPr="000C2FB1">
        <w:rPr>
          <w:sz w:val="16"/>
          <w:vertAlign w:val="superscript"/>
        </w:rPr>
        <w:t>th</w:t>
      </w:r>
      <w:r>
        <w:rPr>
          <w:sz w:val="16"/>
        </w:rPr>
        <w:t xml:space="preserve"> grade in 2018-19. </w:t>
      </w:r>
      <w:r w:rsidR="006C78CA">
        <w:rPr>
          <w:sz w:val="16"/>
        </w:rPr>
        <w:t>In total</w:t>
      </w:r>
      <w:r w:rsidR="00D735B9">
        <w:rPr>
          <w:sz w:val="16"/>
        </w:rPr>
        <w:t>,</w:t>
      </w:r>
      <w:r w:rsidR="006C78CA">
        <w:rPr>
          <w:sz w:val="16"/>
        </w:rPr>
        <w:t xml:space="preserve"> 24 students contribute</w:t>
      </w:r>
      <w:r w:rsidR="00D735B9">
        <w:rPr>
          <w:sz w:val="16"/>
        </w:rPr>
        <w:t>d</w:t>
      </w:r>
      <w:r w:rsidR="006C78CA">
        <w:rPr>
          <w:sz w:val="16"/>
        </w:rPr>
        <w:t xml:space="preserve"> to the reading trajectories and 12 students contribute</w:t>
      </w:r>
      <w:r w:rsidR="00D735B9">
        <w:rPr>
          <w:sz w:val="16"/>
        </w:rPr>
        <w:t>d</w:t>
      </w:r>
      <w:r w:rsidR="006C78CA">
        <w:rPr>
          <w:sz w:val="16"/>
        </w:rPr>
        <w:t xml:space="preserve"> to the math trajectories.</w:t>
      </w:r>
    </w:p>
    <w:p w14:paraId="7E951114" w14:textId="77777777" w:rsidR="00815144" w:rsidRDefault="00815144" w:rsidP="000C2FB1">
      <w:pPr>
        <w:spacing w:after="0" w:line="240" w:lineRule="auto"/>
        <w:jc w:val="both"/>
        <w:rPr>
          <w:i/>
        </w:rPr>
      </w:pPr>
    </w:p>
    <w:p w14:paraId="3D814440" w14:textId="77777777" w:rsidR="00163554" w:rsidRDefault="00163554" w:rsidP="000C2FB1">
      <w:pPr>
        <w:spacing w:after="0" w:line="240" w:lineRule="auto"/>
        <w:jc w:val="both"/>
        <w:rPr>
          <w:i/>
        </w:rPr>
      </w:pPr>
    </w:p>
    <w:p w14:paraId="3AC14B46" w14:textId="77777777" w:rsidR="00163554" w:rsidRDefault="00163554" w:rsidP="000C2FB1">
      <w:pPr>
        <w:spacing w:after="0" w:line="240" w:lineRule="auto"/>
        <w:jc w:val="both"/>
        <w:rPr>
          <w:i/>
        </w:rPr>
      </w:pPr>
    </w:p>
    <w:p w14:paraId="3E005897" w14:textId="77777777" w:rsidR="000B1EE4" w:rsidRDefault="000B1EE4" w:rsidP="000C2FB1">
      <w:pPr>
        <w:spacing w:after="0" w:line="240" w:lineRule="auto"/>
        <w:jc w:val="both"/>
        <w:rPr>
          <w:i/>
        </w:rPr>
      </w:pPr>
    </w:p>
    <w:p w14:paraId="505B9FBE" w14:textId="77777777" w:rsidR="000B1EE4" w:rsidRDefault="000B1EE4" w:rsidP="000C2FB1">
      <w:pPr>
        <w:spacing w:after="0" w:line="240" w:lineRule="auto"/>
        <w:jc w:val="both"/>
        <w:rPr>
          <w:i/>
        </w:rPr>
      </w:pPr>
    </w:p>
    <w:p w14:paraId="7B2AD45F" w14:textId="77777777" w:rsidR="000B1EE4" w:rsidRDefault="000B1EE4" w:rsidP="000C2FB1">
      <w:pPr>
        <w:spacing w:after="0" w:line="240" w:lineRule="auto"/>
        <w:jc w:val="both"/>
        <w:rPr>
          <w:i/>
        </w:rPr>
      </w:pPr>
    </w:p>
    <w:p w14:paraId="5943DE1C" w14:textId="660C266B" w:rsidR="000C2FB1" w:rsidRPr="000C2FB1" w:rsidRDefault="000C2FB1" w:rsidP="000C2FB1">
      <w:pPr>
        <w:spacing w:after="0" w:line="240" w:lineRule="auto"/>
        <w:jc w:val="both"/>
        <w:rPr>
          <w:i/>
        </w:rPr>
      </w:pPr>
      <w:r>
        <w:rPr>
          <w:i/>
        </w:rPr>
        <w:lastRenderedPageBreak/>
        <w:t>Figure 2: Test Score Trajectories at The Catamount School—2017, 2018, and 2019</w:t>
      </w:r>
    </w:p>
    <w:p w14:paraId="7FCB194A" w14:textId="617DD092" w:rsidR="000C2FB1" w:rsidRPr="00FB7748" w:rsidRDefault="00262542" w:rsidP="00CD6008">
      <w:pPr>
        <w:spacing w:after="0" w:line="240" w:lineRule="auto"/>
        <w:jc w:val="both"/>
        <w:rPr>
          <w:iCs/>
        </w:rPr>
      </w:pPr>
      <w:r>
        <w:rPr>
          <w:iCs/>
          <w:noProof/>
        </w:rPr>
        <w:drawing>
          <wp:inline distT="0" distB="0" distL="0" distR="0" wp14:anchorId="32B7693A" wp14:editId="3B1CD4A2">
            <wp:extent cx="59436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5ECAA1B" w14:textId="6A80C3CA" w:rsidR="00262542" w:rsidRDefault="00262542" w:rsidP="00262542">
      <w:pPr>
        <w:spacing w:after="0" w:line="240" w:lineRule="auto"/>
        <w:jc w:val="both"/>
        <w:rPr>
          <w:sz w:val="16"/>
        </w:rPr>
      </w:pPr>
      <w:r>
        <w:rPr>
          <w:sz w:val="16"/>
        </w:rPr>
        <w:t>Note: For The Catamount School, this figure displays test score trajectories in reading and math for the cohorts of students that (1) were in 5</w:t>
      </w:r>
      <w:r w:rsidRPr="00262542">
        <w:rPr>
          <w:sz w:val="16"/>
          <w:vertAlign w:val="superscript"/>
        </w:rPr>
        <w:t>th</w:t>
      </w:r>
      <w:r>
        <w:rPr>
          <w:sz w:val="16"/>
        </w:rPr>
        <w:t xml:space="preserve"> grade in 2016-17, 6</w:t>
      </w:r>
      <w:r w:rsidRPr="00262542">
        <w:rPr>
          <w:sz w:val="16"/>
          <w:vertAlign w:val="superscript"/>
        </w:rPr>
        <w:t>th</w:t>
      </w:r>
      <w:r>
        <w:rPr>
          <w:sz w:val="16"/>
        </w:rPr>
        <w:t xml:space="preserve"> grade in 2017-18, and 7</w:t>
      </w:r>
      <w:r w:rsidRPr="00262542">
        <w:rPr>
          <w:sz w:val="16"/>
          <w:vertAlign w:val="superscript"/>
        </w:rPr>
        <w:t>th</w:t>
      </w:r>
      <w:r>
        <w:rPr>
          <w:sz w:val="16"/>
        </w:rPr>
        <w:t xml:space="preserve"> grade in 2018-19 or (2) 6</w:t>
      </w:r>
      <w:r w:rsidR="00D735B9">
        <w:rPr>
          <w:sz w:val="16"/>
          <w:vertAlign w:val="superscript"/>
        </w:rPr>
        <w:t xml:space="preserve">th </w:t>
      </w:r>
      <w:r w:rsidR="00D735B9">
        <w:rPr>
          <w:sz w:val="16"/>
        </w:rPr>
        <w:t>grade in 2016-17, 7</w:t>
      </w:r>
      <w:r w:rsidR="00D735B9" w:rsidRPr="00D735B9">
        <w:rPr>
          <w:sz w:val="16"/>
          <w:vertAlign w:val="superscript"/>
        </w:rPr>
        <w:t>th</w:t>
      </w:r>
      <w:r w:rsidR="00D735B9">
        <w:rPr>
          <w:sz w:val="16"/>
        </w:rPr>
        <w:t xml:space="preserve"> grade in 2017-18, and 8</w:t>
      </w:r>
      <w:r w:rsidR="00D735B9" w:rsidRPr="00D735B9">
        <w:rPr>
          <w:sz w:val="16"/>
          <w:vertAlign w:val="superscript"/>
        </w:rPr>
        <w:t>th</w:t>
      </w:r>
      <w:r w:rsidR="00D735B9">
        <w:rPr>
          <w:sz w:val="16"/>
        </w:rPr>
        <w:t xml:space="preserve"> grade in 2018-19. In total 27 students contributed to the reading and math trajectories.</w:t>
      </w:r>
    </w:p>
    <w:p w14:paraId="2BA205A6" w14:textId="3976D54F" w:rsidR="00CD6008" w:rsidRDefault="00CD6008" w:rsidP="00CD6008">
      <w:pPr>
        <w:spacing w:after="0" w:line="240" w:lineRule="auto"/>
        <w:jc w:val="both"/>
        <w:rPr>
          <w:i/>
        </w:rPr>
      </w:pPr>
    </w:p>
    <w:p w14:paraId="2E1879EC" w14:textId="77777777" w:rsidR="00B421B0" w:rsidRDefault="00A4050B" w:rsidP="00CD6008">
      <w:pPr>
        <w:spacing w:after="0" w:line="240" w:lineRule="auto"/>
        <w:jc w:val="both"/>
        <w:rPr>
          <w:iCs/>
        </w:rPr>
      </w:pPr>
      <w:r>
        <w:rPr>
          <w:iCs/>
        </w:rPr>
        <w:t>To further these within-school comparisons, Table</w:t>
      </w:r>
      <w:r w:rsidR="007027D7">
        <w:rPr>
          <w:iCs/>
        </w:rPr>
        <w:t xml:space="preserve"> 5 presents</w:t>
      </w:r>
      <w:r>
        <w:rPr>
          <w:iCs/>
        </w:rPr>
        <w:t xml:space="preserve"> test score data for laboratory school students versus a matched comparison sample.</w:t>
      </w:r>
      <w:r w:rsidR="005E2A60" w:rsidRPr="00037B20">
        <w:rPr>
          <w:rStyle w:val="FootnoteReference"/>
        </w:rPr>
        <w:footnoteReference w:id="49"/>
      </w:r>
      <w:r w:rsidR="00501687">
        <w:rPr>
          <w:iCs/>
        </w:rPr>
        <w:t xml:space="preserve"> </w:t>
      </w:r>
      <w:r w:rsidR="005E615B">
        <w:rPr>
          <w:iCs/>
        </w:rPr>
        <w:t>In particular, t</w:t>
      </w:r>
      <w:r w:rsidR="00501687">
        <w:rPr>
          <w:iCs/>
        </w:rPr>
        <w:t>he Evaluation Team estimated regression models to test whether there are statistically significant differences in the EOG scores of laboratory school versus matched comparison sample students.</w:t>
      </w:r>
      <w:r w:rsidR="00E943C6">
        <w:rPr>
          <w:iCs/>
        </w:rPr>
        <w:t xml:space="preserve"> An initial model compares all laboratory school and matched comparison sample students; additional models return separate results for each laboratory school.</w:t>
      </w:r>
      <w:bookmarkStart w:id="15" w:name="_Hlk13730692"/>
      <w:r w:rsidR="00B376E8">
        <w:rPr>
          <w:rStyle w:val="FootnoteReference"/>
        </w:rPr>
        <w:footnoteReference w:id="50"/>
      </w:r>
      <w:bookmarkEnd w:id="15"/>
      <w:r w:rsidR="00E943C6">
        <w:rPr>
          <w:iCs/>
        </w:rPr>
        <w:t xml:space="preserve"> </w:t>
      </w:r>
    </w:p>
    <w:p w14:paraId="2AAAF41D" w14:textId="77777777" w:rsidR="00B421B0" w:rsidRDefault="00B421B0" w:rsidP="00CD6008">
      <w:pPr>
        <w:spacing w:after="0" w:line="240" w:lineRule="auto"/>
        <w:jc w:val="both"/>
        <w:rPr>
          <w:iCs/>
        </w:rPr>
      </w:pPr>
    </w:p>
    <w:p w14:paraId="1EE2119E" w14:textId="3E839C2C" w:rsidR="00815144" w:rsidRDefault="005E615B" w:rsidP="00CD6008">
      <w:pPr>
        <w:spacing w:after="0" w:line="240" w:lineRule="auto"/>
        <w:jc w:val="both"/>
        <w:rPr>
          <w:iCs/>
        </w:rPr>
      </w:pPr>
      <w:r>
        <w:rPr>
          <w:iCs/>
        </w:rPr>
        <w:t>In elementary grades, estimates show that laboratory school students (overall) scored significantly lower on EOG exams</w:t>
      </w:r>
      <w:r w:rsidR="00F64947">
        <w:rPr>
          <w:iCs/>
        </w:rPr>
        <w:t xml:space="preserve"> in math, reading, and science</w:t>
      </w:r>
      <w:r>
        <w:rPr>
          <w:iCs/>
        </w:rPr>
        <w:t xml:space="preserve"> than the matched comparison sample. </w:t>
      </w:r>
      <w:r w:rsidR="00F64947">
        <w:rPr>
          <w:iCs/>
        </w:rPr>
        <w:t xml:space="preserve">However, these </w:t>
      </w:r>
      <w:r w:rsidR="00F64947">
        <w:rPr>
          <w:iCs/>
        </w:rPr>
        <w:lastRenderedPageBreak/>
        <w:t xml:space="preserve">results differ greatly across laboratory schools. </w:t>
      </w:r>
      <w:r w:rsidR="00B421B0">
        <w:rPr>
          <w:iCs/>
        </w:rPr>
        <w:t xml:space="preserve">Students at the </w:t>
      </w:r>
      <w:r w:rsidR="005F2358">
        <w:rPr>
          <w:iCs/>
        </w:rPr>
        <w:t>Academy at Middle Fork (Appalachian State)</w:t>
      </w:r>
      <w:r w:rsidR="00B421B0">
        <w:rPr>
          <w:iCs/>
        </w:rPr>
        <w:t xml:space="preserve"> and the ECU Community School scored as well as or better than matched comparison sample students. Of particular note is 5</w:t>
      </w:r>
      <w:r w:rsidR="00B421B0" w:rsidRPr="00B421B0">
        <w:rPr>
          <w:iCs/>
          <w:vertAlign w:val="superscript"/>
        </w:rPr>
        <w:t>th</w:t>
      </w:r>
      <w:r w:rsidR="00B421B0">
        <w:rPr>
          <w:iCs/>
        </w:rPr>
        <w:t xml:space="preserve"> grade science, where students at the ECU Community School had adjusted average scores nearly 50 percent of a standard deviation higher than the matched comparison sample. </w:t>
      </w:r>
      <w:r w:rsidR="001E1B16">
        <w:rPr>
          <w:iCs/>
        </w:rPr>
        <w:t xml:space="preserve">Conversely, students at the Moss Street Partnership School </w:t>
      </w:r>
      <w:r w:rsidR="00D0548E">
        <w:rPr>
          <w:iCs/>
        </w:rPr>
        <w:t xml:space="preserve">(UNCG) </w:t>
      </w:r>
      <w:r w:rsidR="001E1B16">
        <w:rPr>
          <w:iCs/>
        </w:rPr>
        <w:t xml:space="preserve">scored significantly lower than the matched comparison sample in math, reading, and science. </w:t>
      </w:r>
      <w:r w:rsidR="008C4F8D">
        <w:rPr>
          <w:iCs/>
        </w:rPr>
        <w:t>These estimates are large in magnitude and explain the overall negative results at the top of Table 5. Lastly, results show that elementary grades students at D.C. Virgo Preparatory Academy</w:t>
      </w:r>
      <w:r w:rsidR="00D0548E">
        <w:rPr>
          <w:iCs/>
        </w:rPr>
        <w:t xml:space="preserve"> (UNCW)</w:t>
      </w:r>
      <w:r w:rsidR="008C4F8D">
        <w:rPr>
          <w:iCs/>
        </w:rPr>
        <w:t xml:space="preserve"> scored significantly lower than the matched comparison sample in math but performed comparably in reading and 5</w:t>
      </w:r>
      <w:r w:rsidR="008C4F8D" w:rsidRPr="008C4F8D">
        <w:rPr>
          <w:iCs/>
          <w:vertAlign w:val="superscript"/>
        </w:rPr>
        <w:t>th</w:t>
      </w:r>
      <w:r w:rsidR="008C4F8D">
        <w:rPr>
          <w:iCs/>
        </w:rPr>
        <w:t xml:space="preserve"> grade science.</w:t>
      </w:r>
    </w:p>
    <w:p w14:paraId="6F6DA25D" w14:textId="5BFAC9B0" w:rsidR="008C4F8D" w:rsidRDefault="008C4F8D" w:rsidP="00CD6008">
      <w:pPr>
        <w:spacing w:after="0" w:line="240" w:lineRule="auto"/>
        <w:jc w:val="both"/>
        <w:rPr>
          <w:iCs/>
        </w:rPr>
      </w:pPr>
    </w:p>
    <w:p w14:paraId="2B50E67D" w14:textId="731C0F41" w:rsidR="00EC1AAE" w:rsidRDefault="008C4F8D" w:rsidP="00CD6008">
      <w:pPr>
        <w:spacing w:after="0" w:line="240" w:lineRule="auto"/>
        <w:jc w:val="both"/>
        <w:rPr>
          <w:iCs/>
        </w:rPr>
      </w:pPr>
      <w:r>
        <w:rPr>
          <w:iCs/>
        </w:rPr>
        <w:t xml:space="preserve">Turning to middle grades </w:t>
      </w:r>
      <w:r w:rsidR="000F495E">
        <w:rPr>
          <w:iCs/>
        </w:rPr>
        <w:t xml:space="preserve">EOG exams, estimates show that laboratory school students (overall) scored significantly lower than the matched comparison sample in math and performed comparably in reading and </w:t>
      </w:r>
      <w:r w:rsidR="000F4D79">
        <w:rPr>
          <w:iCs/>
        </w:rPr>
        <w:t>8</w:t>
      </w:r>
      <w:r w:rsidR="000F4D79" w:rsidRPr="000F4D79">
        <w:rPr>
          <w:iCs/>
          <w:vertAlign w:val="superscript"/>
        </w:rPr>
        <w:t>th</w:t>
      </w:r>
      <w:r w:rsidR="000F4D79">
        <w:rPr>
          <w:iCs/>
        </w:rPr>
        <w:t xml:space="preserve"> grade </w:t>
      </w:r>
      <w:r w:rsidR="000F495E">
        <w:rPr>
          <w:iCs/>
        </w:rPr>
        <w:t>science. Results for the two laboratory schools serving middle grades students show negative results for The Catamount School</w:t>
      </w:r>
      <w:r w:rsidR="00D0548E">
        <w:rPr>
          <w:iCs/>
        </w:rPr>
        <w:t xml:space="preserve"> (WCU)</w:t>
      </w:r>
      <w:r w:rsidR="000F495E">
        <w:rPr>
          <w:iCs/>
        </w:rPr>
        <w:t xml:space="preserve"> in math and negative results for the D.C. Virgo Preparatory Academy</w:t>
      </w:r>
      <w:r w:rsidR="00D0548E">
        <w:rPr>
          <w:iCs/>
        </w:rPr>
        <w:t xml:space="preserve"> (UNCW)</w:t>
      </w:r>
      <w:r w:rsidR="000F495E">
        <w:rPr>
          <w:iCs/>
        </w:rPr>
        <w:t xml:space="preserve"> in reading. </w:t>
      </w:r>
    </w:p>
    <w:p w14:paraId="7C32F8DD" w14:textId="4A82210F" w:rsidR="00AD04A6" w:rsidRDefault="00AD04A6" w:rsidP="00CD6008">
      <w:pPr>
        <w:spacing w:after="0" w:line="240" w:lineRule="auto"/>
        <w:jc w:val="both"/>
        <w:rPr>
          <w:iCs/>
        </w:rPr>
      </w:pPr>
    </w:p>
    <w:p w14:paraId="3CCBD47F" w14:textId="516B92EA" w:rsidR="00EC1AAE" w:rsidRDefault="00EC1AAE" w:rsidP="00EC1AAE">
      <w:pPr>
        <w:spacing w:after="0" w:line="240" w:lineRule="auto"/>
        <w:jc w:val="both"/>
        <w:rPr>
          <w:i/>
        </w:rPr>
      </w:pPr>
      <w:r w:rsidRPr="00037B20">
        <w:rPr>
          <w:i/>
        </w:rPr>
        <w:t xml:space="preserve">Table </w:t>
      </w:r>
      <w:r>
        <w:rPr>
          <w:i/>
        </w:rPr>
        <w:t>5</w:t>
      </w:r>
      <w:r w:rsidRPr="00037B20">
        <w:rPr>
          <w:i/>
        </w:rPr>
        <w:t xml:space="preserve">:  </w:t>
      </w:r>
      <w:r w:rsidRPr="00037B20">
        <w:t xml:space="preserve"> </w:t>
      </w:r>
      <w:r>
        <w:rPr>
          <w:i/>
        </w:rPr>
        <w:t>Test Scores Results—Laboratory School Versus Matched Comparison Sample Students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23"/>
        <w:gridCol w:w="1287"/>
        <w:gridCol w:w="1440"/>
        <w:gridCol w:w="1170"/>
        <w:gridCol w:w="1260"/>
        <w:gridCol w:w="1440"/>
        <w:gridCol w:w="1440"/>
      </w:tblGrid>
      <w:tr w:rsidR="00EC1AAE" w14:paraId="1EBF5EB5" w14:textId="1637F16A" w:rsidTr="00EC1AAE">
        <w:trPr>
          <w:trHeight w:val="317"/>
        </w:trPr>
        <w:tc>
          <w:tcPr>
            <w:tcW w:w="1323" w:type="dxa"/>
            <w:shd w:val="clear" w:color="auto" w:fill="F2F2F2" w:themeFill="background1" w:themeFillShade="F2"/>
            <w:vAlign w:val="center"/>
          </w:tcPr>
          <w:p w14:paraId="3CEE73D1" w14:textId="1956CE8E" w:rsidR="00EC1AAE" w:rsidRPr="00851BC8" w:rsidRDefault="00EC1AAE" w:rsidP="00EC1AAE">
            <w:pPr>
              <w:jc w:val="center"/>
            </w:pPr>
          </w:p>
        </w:tc>
        <w:tc>
          <w:tcPr>
            <w:tcW w:w="1287" w:type="dxa"/>
            <w:shd w:val="clear" w:color="auto" w:fill="F2F2F2" w:themeFill="background1" w:themeFillShade="F2"/>
            <w:vAlign w:val="center"/>
          </w:tcPr>
          <w:p w14:paraId="22DDF0F8" w14:textId="7FEC6B69" w:rsidR="00EC1AAE" w:rsidRPr="00851BC8" w:rsidRDefault="00EC1AAE" w:rsidP="00EC1AAE">
            <w:pPr>
              <w:jc w:val="center"/>
            </w:pPr>
            <w:r>
              <w:t>Elementary Math (4-5)</w:t>
            </w:r>
          </w:p>
        </w:tc>
        <w:tc>
          <w:tcPr>
            <w:tcW w:w="1440" w:type="dxa"/>
            <w:shd w:val="clear" w:color="auto" w:fill="F2F2F2" w:themeFill="background1" w:themeFillShade="F2"/>
            <w:vAlign w:val="center"/>
          </w:tcPr>
          <w:p w14:paraId="2FF4EF64" w14:textId="35A8CA13" w:rsidR="00EC1AAE" w:rsidRPr="00851BC8" w:rsidRDefault="00EC1AAE" w:rsidP="00EC1AAE">
            <w:pPr>
              <w:jc w:val="center"/>
            </w:pPr>
            <w:r>
              <w:t>Elementary Reading (3-5)</w:t>
            </w:r>
          </w:p>
        </w:tc>
        <w:tc>
          <w:tcPr>
            <w:tcW w:w="1170" w:type="dxa"/>
            <w:shd w:val="clear" w:color="auto" w:fill="F2F2F2" w:themeFill="background1" w:themeFillShade="F2"/>
            <w:vAlign w:val="center"/>
          </w:tcPr>
          <w:p w14:paraId="5FA02BDB" w14:textId="6B087602" w:rsidR="00EC1AAE" w:rsidRPr="00851BC8" w:rsidRDefault="00EC1AAE" w:rsidP="00EC1AAE">
            <w:pPr>
              <w:jc w:val="center"/>
            </w:pPr>
            <w:r>
              <w:t>5</w:t>
            </w:r>
            <w:r w:rsidRPr="00EC1AAE">
              <w:rPr>
                <w:vertAlign w:val="superscript"/>
              </w:rPr>
              <w:t>th</w:t>
            </w:r>
            <w:r>
              <w:t xml:space="preserve"> Grade Science</w:t>
            </w:r>
          </w:p>
        </w:tc>
        <w:tc>
          <w:tcPr>
            <w:tcW w:w="1260" w:type="dxa"/>
            <w:shd w:val="clear" w:color="auto" w:fill="F2F2F2" w:themeFill="background1" w:themeFillShade="F2"/>
            <w:vAlign w:val="center"/>
          </w:tcPr>
          <w:p w14:paraId="2C6BB5E2" w14:textId="77777777" w:rsidR="00EC1AAE" w:rsidRDefault="00EC1AAE" w:rsidP="00EC1AAE">
            <w:pPr>
              <w:jc w:val="center"/>
            </w:pPr>
            <w:r>
              <w:t xml:space="preserve">Middle </w:t>
            </w:r>
          </w:p>
          <w:p w14:paraId="0DED4FE1" w14:textId="5E4C33CA" w:rsidR="00EC1AAE" w:rsidRPr="00851BC8" w:rsidRDefault="00EC1AAE" w:rsidP="00EC1AAE">
            <w:pPr>
              <w:jc w:val="center"/>
            </w:pPr>
            <w:r>
              <w:t>Math (6-8)</w:t>
            </w:r>
          </w:p>
        </w:tc>
        <w:tc>
          <w:tcPr>
            <w:tcW w:w="1440" w:type="dxa"/>
            <w:shd w:val="clear" w:color="auto" w:fill="F2F2F2" w:themeFill="background1" w:themeFillShade="F2"/>
            <w:vAlign w:val="center"/>
          </w:tcPr>
          <w:p w14:paraId="61C1BEE0" w14:textId="3BCA7041" w:rsidR="00EC1AAE" w:rsidRPr="00851BC8" w:rsidRDefault="00EC1AAE" w:rsidP="00EC1AAE">
            <w:pPr>
              <w:jc w:val="center"/>
            </w:pPr>
            <w:r>
              <w:t>Middle Reading (6-8)</w:t>
            </w:r>
          </w:p>
        </w:tc>
        <w:tc>
          <w:tcPr>
            <w:tcW w:w="1440" w:type="dxa"/>
            <w:shd w:val="clear" w:color="auto" w:fill="F2F2F2" w:themeFill="background1" w:themeFillShade="F2"/>
            <w:vAlign w:val="center"/>
          </w:tcPr>
          <w:p w14:paraId="758AC81A" w14:textId="77777777" w:rsidR="00EC1AAE" w:rsidRDefault="00EC1AAE" w:rsidP="00EC1AAE">
            <w:pPr>
              <w:jc w:val="center"/>
            </w:pPr>
            <w:r>
              <w:t>8</w:t>
            </w:r>
            <w:r w:rsidRPr="00EC1AAE">
              <w:rPr>
                <w:vertAlign w:val="superscript"/>
              </w:rPr>
              <w:t>th</w:t>
            </w:r>
            <w:r>
              <w:t xml:space="preserve"> Grade</w:t>
            </w:r>
          </w:p>
          <w:p w14:paraId="7B353F74" w14:textId="0A7851D3" w:rsidR="00EC1AAE" w:rsidRPr="00851BC8" w:rsidRDefault="00EC1AAE" w:rsidP="00EC1AAE">
            <w:pPr>
              <w:jc w:val="center"/>
            </w:pPr>
            <w:r>
              <w:t>Science</w:t>
            </w:r>
          </w:p>
        </w:tc>
      </w:tr>
      <w:tr w:rsidR="00EC1AAE" w14:paraId="57C18A07" w14:textId="4C8C9750" w:rsidTr="00EC1AAE">
        <w:trPr>
          <w:trHeight w:val="317"/>
        </w:trPr>
        <w:tc>
          <w:tcPr>
            <w:tcW w:w="1323" w:type="dxa"/>
            <w:vAlign w:val="center"/>
          </w:tcPr>
          <w:p w14:paraId="79E4468A" w14:textId="4E61B7D5" w:rsidR="00EC1AAE" w:rsidRPr="00EC1AAE" w:rsidRDefault="00EC1AAE" w:rsidP="007F79CB">
            <w:pPr>
              <w:jc w:val="right"/>
              <w:rPr>
                <w:sz w:val="16"/>
                <w:szCs w:val="16"/>
              </w:rPr>
            </w:pPr>
            <w:r>
              <w:rPr>
                <w:sz w:val="16"/>
                <w:szCs w:val="16"/>
              </w:rPr>
              <w:t>Lab</w:t>
            </w:r>
            <w:r w:rsidR="00940279">
              <w:rPr>
                <w:sz w:val="16"/>
                <w:szCs w:val="16"/>
              </w:rPr>
              <w:t>oratory</w:t>
            </w:r>
            <w:r>
              <w:rPr>
                <w:sz w:val="16"/>
                <w:szCs w:val="16"/>
              </w:rPr>
              <w:t xml:space="preserve"> School Students</w:t>
            </w:r>
          </w:p>
        </w:tc>
        <w:tc>
          <w:tcPr>
            <w:tcW w:w="1287" w:type="dxa"/>
            <w:vAlign w:val="center"/>
          </w:tcPr>
          <w:p w14:paraId="54335C91" w14:textId="411EA076" w:rsidR="00EC1AAE" w:rsidRPr="00EC1AAE" w:rsidRDefault="00EC1AAE" w:rsidP="00EC1AAE">
            <w:pPr>
              <w:jc w:val="center"/>
              <w:rPr>
                <w:b/>
                <w:bCs/>
                <w:sz w:val="20"/>
                <w:szCs w:val="20"/>
                <w:vertAlign w:val="superscript"/>
              </w:rPr>
            </w:pPr>
            <w:r w:rsidRPr="00EC1AAE">
              <w:rPr>
                <w:b/>
                <w:bCs/>
                <w:sz w:val="20"/>
                <w:szCs w:val="20"/>
              </w:rPr>
              <w:t>-0.</w:t>
            </w:r>
            <w:r w:rsidR="00725F3A">
              <w:rPr>
                <w:b/>
                <w:bCs/>
                <w:sz w:val="20"/>
                <w:szCs w:val="20"/>
              </w:rPr>
              <w:t>279</w:t>
            </w:r>
            <w:r w:rsidRPr="00EC1AAE">
              <w:rPr>
                <w:b/>
                <w:bCs/>
                <w:sz w:val="20"/>
                <w:szCs w:val="20"/>
                <w:vertAlign w:val="superscript"/>
              </w:rPr>
              <w:t>**</w:t>
            </w:r>
          </w:p>
          <w:p w14:paraId="4573130B" w14:textId="1A479D2E" w:rsidR="00EC1AAE" w:rsidRPr="00EC1AAE" w:rsidRDefault="00EC1AAE" w:rsidP="00EC1AAE">
            <w:pPr>
              <w:jc w:val="center"/>
              <w:rPr>
                <w:sz w:val="20"/>
                <w:szCs w:val="20"/>
              </w:rPr>
            </w:pPr>
            <w:r>
              <w:rPr>
                <w:sz w:val="20"/>
                <w:szCs w:val="20"/>
              </w:rPr>
              <w:t>(0.03</w:t>
            </w:r>
            <w:r w:rsidR="00725F3A">
              <w:rPr>
                <w:sz w:val="20"/>
                <w:szCs w:val="20"/>
              </w:rPr>
              <w:t>5</w:t>
            </w:r>
            <w:r>
              <w:rPr>
                <w:sz w:val="20"/>
                <w:szCs w:val="20"/>
              </w:rPr>
              <w:t>)</w:t>
            </w:r>
          </w:p>
        </w:tc>
        <w:tc>
          <w:tcPr>
            <w:tcW w:w="1440" w:type="dxa"/>
            <w:vAlign w:val="center"/>
          </w:tcPr>
          <w:p w14:paraId="06B81DC5" w14:textId="7749B804" w:rsidR="00EC1AAE" w:rsidRPr="00EC1AAE" w:rsidRDefault="00EC1AAE" w:rsidP="00EC1AAE">
            <w:pPr>
              <w:jc w:val="center"/>
              <w:rPr>
                <w:b/>
                <w:bCs/>
                <w:sz w:val="20"/>
                <w:szCs w:val="20"/>
                <w:vertAlign w:val="superscript"/>
              </w:rPr>
            </w:pPr>
            <w:r w:rsidRPr="00EC1AAE">
              <w:rPr>
                <w:b/>
                <w:bCs/>
                <w:sz w:val="20"/>
                <w:szCs w:val="20"/>
              </w:rPr>
              <w:t>-0.</w:t>
            </w:r>
            <w:r w:rsidR="00725F3A">
              <w:rPr>
                <w:b/>
                <w:bCs/>
                <w:sz w:val="20"/>
                <w:szCs w:val="20"/>
              </w:rPr>
              <w:t>177</w:t>
            </w:r>
            <w:r w:rsidRPr="00EC1AAE">
              <w:rPr>
                <w:b/>
                <w:bCs/>
                <w:sz w:val="20"/>
                <w:szCs w:val="20"/>
                <w:vertAlign w:val="superscript"/>
              </w:rPr>
              <w:t>**</w:t>
            </w:r>
          </w:p>
          <w:p w14:paraId="6AAE7106" w14:textId="4E38F1CD" w:rsidR="00EC1AAE" w:rsidRPr="00EC1AAE" w:rsidRDefault="00EC1AAE" w:rsidP="00EC1AAE">
            <w:pPr>
              <w:jc w:val="center"/>
              <w:rPr>
                <w:sz w:val="20"/>
                <w:szCs w:val="20"/>
              </w:rPr>
            </w:pPr>
            <w:r>
              <w:rPr>
                <w:sz w:val="20"/>
                <w:szCs w:val="20"/>
              </w:rPr>
              <w:t>(0.03</w:t>
            </w:r>
            <w:r w:rsidR="00725F3A">
              <w:rPr>
                <w:sz w:val="20"/>
                <w:szCs w:val="20"/>
              </w:rPr>
              <w:t>5</w:t>
            </w:r>
            <w:r>
              <w:rPr>
                <w:sz w:val="20"/>
                <w:szCs w:val="20"/>
              </w:rPr>
              <w:t>)</w:t>
            </w:r>
          </w:p>
        </w:tc>
        <w:tc>
          <w:tcPr>
            <w:tcW w:w="1170" w:type="dxa"/>
            <w:vAlign w:val="center"/>
          </w:tcPr>
          <w:p w14:paraId="04B31302" w14:textId="69C3CD32" w:rsidR="00EC1AAE" w:rsidRPr="00EC1AAE" w:rsidRDefault="00EC1AAE" w:rsidP="00EC1AAE">
            <w:pPr>
              <w:jc w:val="center"/>
              <w:rPr>
                <w:b/>
                <w:bCs/>
                <w:sz w:val="20"/>
                <w:szCs w:val="20"/>
                <w:vertAlign w:val="superscript"/>
              </w:rPr>
            </w:pPr>
            <w:r w:rsidRPr="00EC1AAE">
              <w:rPr>
                <w:b/>
                <w:bCs/>
                <w:sz w:val="20"/>
                <w:szCs w:val="20"/>
              </w:rPr>
              <w:t>-0.</w:t>
            </w:r>
            <w:r w:rsidR="00725F3A">
              <w:rPr>
                <w:b/>
                <w:bCs/>
                <w:sz w:val="20"/>
                <w:szCs w:val="20"/>
              </w:rPr>
              <w:t>282</w:t>
            </w:r>
            <w:r w:rsidRPr="00EC1AAE">
              <w:rPr>
                <w:b/>
                <w:bCs/>
                <w:sz w:val="20"/>
                <w:szCs w:val="20"/>
                <w:vertAlign w:val="superscript"/>
              </w:rPr>
              <w:t>**</w:t>
            </w:r>
          </w:p>
          <w:p w14:paraId="4132DFD3" w14:textId="6E263C61" w:rsidR="00EC1AAE" w:rsidRPr="00EC1AAE" w:rsidRDefault="00EC1AAE" w:rsidP="00EC1AAE">
            <w:pPr>
              <w:jc w:val="center"/>
              <w:rPr>
                <w:sz w:val="20"/>
                <w:szCs w:val="20"/>
              </w:rPr>
            </w:pPr>
            <w:r>
              <w:rPr>
                <w:sz w:val="20"/>
                <w:szCs w:val="20"/>
              </w:rPr>
              <w:t>(0.0</w:t>
            </w:r>
            <w:r w:rsidR="00725F3A">
              <w:rPr>
                <w:sz w:val="20"/>
                <w:szCs w:val="20"/>
              </w:rPr>
              <w:t>66</w:t>
            </w:r>
            <w:r>
              <w:rPr>
                <w:sz w:val="20"/>
                <w:szCs w:val="20"/>
              </w:rPr>
              <w:t>)</w:t>
            </w:r>
          </w:p>
        </w:tc>
        <w:tc>
          <w:tcPr>
            <w:tcW w:w="1260" w:type="dxa"/>
            <w:vAlign w:val="center"/>
          </w:tcPr>
          <w:p w14:paraId="35EB5755" w14:textId="2C487D16" w:rsidR="00EC1AAE" w:rsidRPr="00AD2093" w:rsidRDefault="007027D7" w:rsidP="00EC1AAE">
            <w:pPr>
              <w:jc w:val="center"/>
              <w:rPr>
                <w:b/>
                <w:bCs/>
                <w:sz w:val="20"/>
                <w:szCs w:val="20"/>
                <w:vertAlign w:val="superscript"/>
              </w:rPr>
            </w:pPr>
            <w:r w:rsidRPr="00AD2093">
              <w:rPr>
                <w:b/>
                <w:bCs/>
                <w:sz w:val="20"/>
                <w:szCs w:val="20"/>
              </w:rPr>
              <w:t>-0.2</w:t>
            </w:r>
            <w:r w:rsidR="0079795A">
              <w:rPr>
                <w:b/>
                <w:bCs/>
                <w:sz w:val="20"/>
                <w:szCs w:val="20"/>
              </w:rPr>
              <w:t>11</w:t>
            </w:r>
            <w:r w:rsidRPr="00AD2093">
              <w:rPr>
                <w:b/>
                <w:bCs/>
                <w:sz w:val="20"/>
                <w:szCs w:val="20"/>
                <w:vertAlign w:val="superscript"/>
              </w:rPr>
              <w:t>**</w:t>
            </w:r>
          </w:p>
          <w:p w14:paraId="118AB69B" w14:textId="423AB1E3" w:rsidR="007027D7" w:rsidRPr="00EC1AAE" w:rsidRDefault="007027D7" w:rsidP="00EC1AAE">
            <w:pPr>
              <w:jc w:val="center"/>
              <w:rPr>
                <w:sz w:val="20"/>
                <w:szCs w:val="20"/>
              </w:rPr>
            </w:pPr>
            <w:r>
              <w:rPr>
                <w:sz w:val="20"/>
                <w:szCs w:val="20"/>
              </w:rPr>
              <w:t>(0.045)</w:t>
            </w:r>
          </w:p>
        </w:tc>
        <w:tc>
          <w:tcPr>
            <w:tcW w:w="1440" w:type="dxa"/>
            <w:vAlign w:val="center"/>
          </w:tcPr>
          <w:p w14:paraId="2274BC99" w14:textId="3293DF4D" w:rsidR="00EC1AAE" w:rsidRDefault="00AD2093" w:rsidP="00EC1AAE">
            <w:pPr>
              <w:jc w:val="center"/>
              <w:rPr>
                <w:sz w:val="20"/>
                <w:szCs w:val="20"/>
              </w:rPr>
            </w:pPr>
            <w:r>
              <w:rPr>
                <w:sz w:val="20"/>
                <w:szCs w:val="20"/>
              </w:rPr>
              <w:t>-0.06</w:t>
            </w:r>
            <w:r w:rsidR="0079795A">
              <w:rPr>
                <w:sz w:val="20"/>
                <w:szCs w:val="20"/>
              </w:rPr>
              <w:t>9</w:t>
            </w:r>
          </w:p>
          <w:p w14:paraId="74649F3D" w14:textId="3A0AD8A2" w:rsidR="00AD2093" w:rsidRPr="00EC1AAE" w:rsidRDefault="00AD2093" w:rsidP="00EC1AAE">
            <w:pPr>
              <w:jc w:val="center"/>
              <w:rPr>
                <w:sz w:val="20"/>
                <w:szCs w:val="20"/>
              </w:rPr>
            </w:pPr>
            <w:r>
              <w:rPr>
                <w:sz w:val="20"/>
                <w:szCs w:val="20"/>
              </w:rPr>
              <w:t>(0.048)</w:t>
            </w:r>
          </w:p>
        </w:tc>
        <w:tc>
          <w:tcPr>
            <w:tcW w:w="1440" w:type="dxa"/>
            <w:vAlign w:val="center"/>
          </w:tcPr>
          <w:p w14:paraId="71AEE097" w14:textId="64F2C28F" w:rsidR="00EC1AAE" w:rsidRDefault="00AD2093" w:rsidP="00EC1AAE">
            <w:pPr>
              <w:jc w:val="center"/>
              <w:rPr>
                <w:sz w:val="20"/>
                <w:szCs w:val="20"/>
              </w:rPr>
            </w:pPr>
            <w:r>
              <w:rPr>
                <w:sz w:val="20"/>
                <w:szCs w:val="20"/>
              </w:rPr>
              <w:t>0.03</w:t>
            </w:r>
            <w:r w:rsidR="0079795A">
              <w:rPr>
                <w:sz w:val="20"/>
                <w:szCs w:val="20"/>
              </w:rPr>
              <w:t>4</w:t>
            </w:r>
          </w:p>
          <w:p w14:paraId="4895C66F" w14:textId="4C66B5B8" w:rsidR="00AD2093" w:rsidRPr="00EC1AAE" w:rsidRDefault="00AD2093" w:rsidP="00EC1AAE">
            <w:pPr>
              <w:jc w:val="center"/>
              <w:rPr>
                <w:sz w:val="20"/>
                <w:szCs w:val="20"/>
              </w:rPr>
            </w:pPr>
            <w:r>
              <w:rPr>
                <w:sz w:val="20"/>
                <w:szCs w:val="20"/>
              </w:rPr>
              <w:t>(0.08</w:t>
            </w:r>
            <w:r w:rsidR="0079795A">
              <w:rPr>
                <w:sz w:val="20"/>
                <w:szCs w:val="20"/>
              </w:rPr>
              <w:t>2</w:t>
            </w:r>
            <w:r>
              <w:rPr>
                <w:sz w:val="20"/>
                <w:szCs w:val="20"/>
              </w:rPr>
              <w:t>)</w:t>
            </w:r>
          </w:p>
        </w:tc>
      </w:tr>
      <w:tr w:rsidR="00EC1AAE" w14:paraId="7D4E8480" w14:textId="34EA5928" w:rsidTr="00EC1AAE">
        <w:trPr>
          <w:trHeight w:val="317"/>
        </w:trPr>
        <w:tc>
          <w:tcPr>
            <w:tcW w:w="1323" w:type="dxa"/>
            <w:vAlign w:val="center"/>
          </w:tcPr>
          <w:p w14:paraId="36D9095B" w14:textId="375E0977" w:rsidR="00EC1AAE" w:rsidRPr="00EC1AAE" w:rsidRDefault="005F2358" w:rsidP="007F79CB">
            <w:pPr>
              <w:jc w:val="right"/>
              <w:rPr>
                <w:sz w:val="16"/>
                <w:szCs w:val="16"/>
              </w:rPr>
            </w:pPr>
            <w:r>
              <w:rPr>
                <w:sz w:val="16"/>
                <w:szCs w:val="16"/>
              </w:rPr>
              <w:t>Academy at Middle Fork</w:t>
            </w:r>
          </w:p>
        </w:tc>
        <w:tc>
          <w:tcPr>
            <w:tcW w:w="1287" w:type="dxa"/>
            <w:vAlign w:val="center"/>
          </w:tcPr>
          <w:p w14:paraId="56980C1A" w14:textId="7E7DD940" w:rsidR="00EC1AAE" w:rsidRDefault="00EC1AAE" w:rsidP="00EC1AAE">
            <w:pPr>
              <w:jc w:val="center"/>
              <w:rPr>
                <w:sz w:val="20"/>
                <w:szCs w:val="20"/>
              </w:rPr>
            </w:pPr>
            <w:r>
              <w:rPr>
                <w:sz w:val="20"/>
                <w:szCs w:val="20"/>
              </w:rPr>
              <w:t>-0.04</w:t>
            </w:r>
            <w:r w:rsidR="00725F3A">
              <w:rPr>
                <w:sz w:val="20"/>
                <w:szCs w:val="20"/>
              </w:rPr>
              <w:t>9</w:t>
            </w:r>
          </w:p>
          <w:p w14:paraId="3F48C798" w14:textId="6F737C6E" w:rsidR="00EC1AAE" w:rsidRPr="00EC1AAE" w:rsidRDefault="00EC1AAE" w:rsidP="00EC1AAE">
            <w:pPr>
              <w:jc w:val="center"/>
              <w:rPr>
                <w:sz w:val="20"/>
                <w:szCs w:val="20"/>
              </w:rPr>
            </w:pPr>
            <w:r>
              <w:rPr>
                <w:sz w:val="20"/>
                <w:szCs w:val="20"/>
              </w:rPr>
              <w:t>(0.05</w:t>
            </w:r>
            <w:r w:rsidR="00725F3A">
              <w:rPr>
                <w:sz w:val="20"/>
                <w:szCs w:val="20"/>
              </w:rPr>
              <w:t>1</w:t>
            </w:r>
            <w:r>
              <w:rPr>
                <w:sz w:val="20"/>
                <w:szCs w:val="20"/>
              </w:rPr>
              <w:t>)</w:t>
            </w:r>
          </w:p>
        </w:tc>
        <w:tc>
          <w:tcPr>
            <w:tcW w:w="1440" w:type="dxa"/>
            <w:vAlign w:val="center"/>
          </w:tcPr>
          <w:p w14:paraId="67B56ACA" w14:textId="02E06E49" w:rsidR="00EC1AAE" w:rsidRDefault="00EC1AAE" w:rsidP="00EC1AAE">
            <w:pPr>
              <w:jc w:val="center"/>
              <w:rPr>
                <w:sz w:val="20"/>
                <w:szCs w:val="20"/>
              </w:rPr>
            </w:pPr>
            <w:r>
              <w:rPr>
                <w:sz w:val="20"/>
                <w:szCs w:val="20"/>
              </w:rPr>
              <w:t>0.0</w:t>
            </w:r>
            <w:r w:rsidR="00725F3A">
              <w:rPr>
                <w:sz w:val="20"/>
                <w:szCs w:val="20"/>
              </w:rPr>
              <w:t>67</w:t>
            </w:r>
          </w:p>
          <w:p w14:paraId="661DDC65" w14:textId="7B75DCA6" w:rsidR="00EC1AAE" w:rsidRPr="00EC1AAE" w:rsidRDefault="00EC1AAE" w:rsidP="00EC1AAE">
            <w:pPr>
              <w:jc w:val="center"/>
              <w:rPr>
                <w:sz w:val="20"/>
                <w:szCs w:val="20"/>
              </w:rPr>
            </w:pPr>
            <w:r>
              <w:rPr>
                <w:sz w:val="20"/>
                <w:szCs w:val="20"/>
              </w:rPr>
              <w:t>(0.05</w:t>
            </w:r>
            <w:r w:rsidR="00725F3A">
              <w:rPr>
                <w:sz w:val="20"/>
                <w:szCs w:val="20"/>
              </w:rPr>
              <w:t>3</w:t>
            </w:r>
            <w:r>
              <w:rPr>
                <w:sz w:val="20"/>
                <w:szCs w:val="20"/>
              </w:rPr>
              <w:t>)</w:t>
            </w:r>
          </w:p>
        </w:tc>
        <w:tc>
          <w:tcPr>
            <w:tcW w:w="1170" w:type="dxa"/>
            <w:vAlign w:val="center"/>
          </w:tcPr>
          <w:p w14:paraId="6DFA3C32" w14:textId="31C6618D" w:rsidR="00EC1AAE" w:rsidRDefault="00EC1AAE" w:rsidP="00EC1AAE">
            <w:pPr>
              <w:jc w:val="center"/>
              <w:rPr>
                <w:sz w:val="20"/>
                <w:szCs w:val="20"/>
              </w:rPr>
            </w:pPr>
            <w:r>
              <w:rPr>
                <w:sz w:val="20"/>
                <w:szCs w:val="20"/>
              </w:rPr>
              <w:t>0.0</w:t>
            </w:r>
            <w:r w:rsidR="00725F3A">
              <w:rPr>
                <w:sz w:val="20"/>
                <w:szCs w:val="20"/>
              </w:rPr>
              <w:t>48</w:t>
            </w:r>
          </w:p>
          <w:p w14:paraId="229D0827" w14:textId="667F15B9" w:rsidR="00EC1AAE" w:rsidRPr="00EC1AAE" w:rsidRDefault="00EC1AAE" w:rsidP="00EC1AAE">
            <w:pPr>
              <w:jc w:val="center"/>
              <w:rPr>
                <w:sz w:val="20"/>
                <w:szCs w:val="20"/>
              </w:rPr>
            </w:pPr>
            <w:r>
              <w:rPr>
                <w:sz w:val="20"/>
                <w:szCs w:val="20"/>
              </w:rPr>
              <w:t>(0.10</w:t>
            </w:r>
            <w:r w:rsidR="00725F3A">
              <w:rPr>
                <w:sz w:val="20"/>
                <w:szCs w:val="20"/>
              </w:rPr>
              <w:t>4</w:t>
            </w:r>
            <w:r>
              <w:rPr>
                <w:sz w:val="20"/>
                <w:szCs w:val="20"/>
              </w:rPr>
              <w:t>)</w:t>
            </w:r>
          </w:p>
        </w:tc>
        <w:tc>
          <w:tcPr>
            <w:tcW w:w="1260" w:type="dxa"/>
            <w:vAlign w:val="center"/>
          </w:tcPr>
          <w:p w14:paraId="4716F3E3" w14:textId="3258A0C1" w:rsidR="00EC1AAE" w:rsidRPr="00EC1AAE" w:rsidRDefault="007027D7" w:rsidP="00EC1AAE">
            <w:pPr>
              <w:jc w:val="center"/>
              <w:rPr>
                <w:sz w:val="20"/>
                <w:szCs w:val="20"/>
              </w:rPr>
            </w:pPr>
            <w:r>
              <w:rPr>
                <w:sz w:val="20"/>
                <w:szCs w:val="20"/>
              </w:rPr>
              <w:t>---</w:t>
            </w:r>
          </w:p>
        </w:tc>
        <w:tc>
          <w:tcPr>
            <w:tcW w:w="1440" w:type="dxa"/>
            <w:vAlign w:val="center"/>
          </w:tcPr>
          <w:p w14:paraId="095D470D" w14:textId="73D3F7A6" w:rsidR="00EC1AAE" w:rsidRPr="00EC1AAE" w:rsidRDefault="00AD2093" w:rsidP="00EC1AAE">
            <w:pPr>
              <w:jc w:val="center"/>
              <w:rPr>
                <w:sz w:val="20"/>
                <w:szCs w:val="20"/>
              </w:rPr>
            </w:pPr>
            <w:r>
              <w:rPr>
                <w:sz w:val="20"/>
                <w:szCs w:val="20"/>
              </w:rPr>
              <w:t>---</w:t>
            </w:r>
          </w:p>
        </w:tc>
        <w:tc>
          <w:tcPr>
            <w:tcW w:w="1440" w:type="dxa"/>
            <w:vAlign w:val="center"/>
          </w:tcPr>
          <w:p w14:paraId="1D6B1C4A" w14:textId="0B6B2AD5" w:rsidR="00EC1AAE" w:rsidRPr="00EC1AAE" w:rsidRDefault="00AD2093" w:rsidP="00EC1AAE">
            <w:pPr>
              <w:jc w:val="center"/>
              <w:rPr>
                <w:sz w:val="20"/>
                <w:szCs w:val="20"/>
              </w:rPr>
            </w:pPr>
            <w:r>
              <w:rPr>
                <w:sz w:val="20"/>
                <w:szCs w:val="20"/>
              </w:rPr>
              <w:t>---</w:t>
            </w:r>
          </w:p>
        </w:tc>
      </w:tr>
      <w:tr w:rsidR="00EC1AAE" w14:paraId="57BCD38B" w14:textId="0E0CE83A" w:rsidTr="00EC1AAE">
        <w:trPr>
          <w:trHeight w:val="317"/>
        </w:trPr>
        <w:tc>
          <w:tcPr>
            <w:tcW w:w="1323" w:type="dxa"/>
            <w:vAlign w:val="center"/>
          </w:tcPr>
          <w:p w14:paraId="0622C352" w14:textId="0131C2FC" w:rsidR="00EC1AAE" w:rsidRPr="00EC1AAE" w:rsidRDefault="00EC1AAE" w:rsidP="007F79CB">
            <w:pPr>
              <w:jc w:val="right"/>
              <w:rPr>
                <w:sz w:val="16"/>
                <w:szCs w:val="16"/>
              </w:rPr>
            </w:pPr>
            <w:r>
              <w:rPr>
                <w:sz w:val="16"/>
                <w:szCs w:val="16"/>
              </w:rPr>
              <w:t>ECU Community School</w:t>
            </w:r>
          </w:p>
        </w:tc>
        <w:tc>
          <w:tcPr>
            <w:tcW w:w="1287" w:type="dxa"/>
            <w:vAlign w:val="center"/>
          </w:tcPr>
          <w:p w14:paraId="74B3A4F0" w14:textId="506F0D5B" w:rsidR="00EC1AAE" w:rsidRDefault="00EC1AAE" w:rsidP="00EC1AAE">
            <w:pPr>
              <w:jc w:val="center"/>
              <w:rPr>
                <w:sz w:val="20"/>
                <w:szCs w:val="20"/>
              </w:rPr>
            </w:pPr>
            <w:r>
              <w:rPr>
                <w:sz w:val="20"/>
                <w:szCs w:val="20"/>
              </w:rPr>
              <w:t>0.</w:t>
            </w:r>
            <w:r w:rsidR="00725F3A">
              <w:rPr>
                <w:sz w:val="20"/>
                <w:szCs w:val="20"/>
              </w:rPr>
              <w:t>100</w:t>
            </w:r>
          </w:p>
          <w:p w14:paraId="7EABCF51" w14:textId="3B311102" w:rsidR="00EC1AAE" w:rsidRPr="00EC1AAE" w:rsidRDefault="00EC1AAE" w:rsidP="00EC1AAE">
            <w:pPr>
              <w:jc w:val="center"/>
              <w:rPr>
                <w:sz w:val="20"/>
                <w:szCs w:val="20"/>
              </w:rPr>
            </w:pPr>
            <w:r>
              <w:rPr>
                <w:sz w:val="20"/>
                <w:szCs w:val="20"/>
              </w:rPr>
              <w:t>(0.08</w:t>
            </w:r>
            <w:r w:rsidR="00725F3A">
              <w:rPr>
                <w:sz w:val="20"/>
                <w:szCs w:val="20"/>
              </w:rPr>
              <w:t>1</w:t>
            </w:r>
            <w:r>
              <w:rPr>
                <w:sz w:val="20"/>
                <w:szCs w:val="20"/>
              </w:rPr>
              <w:t>)</w:t>
            </w:r>
          </w:p>
        </w:tc>
        <w:tc>
          <w:tcPr>
            <w:tcW w:w="1440" w:type="dxa"/>
            <w:vAlign w:val="center"/>
          </w:tcPr>
          <w:p w14:paraId="5F331A6E" w14:textId="1A00123E" w:rsidR="00EC1AAE" w:rsidRDefault="00EC1AAE" w:rsidP="00EC1AAE">
            <w:pPr>
              <w:jc w:val="center"/>
              <w:rPr>
                <w:sz w:val="20"/>
                <w:szCs w:val="20"/>
              </w:rPr>
            </w:pPr>
            <w:r>
              <w:rPr>
                <w:sz w:val="20"/>
                <w:szCs w:val="20"/>
              </w:rPr>
              <w:t>0.1</w:t>
            </w:r>
            <w:r w:rsidR="00725F3A">
              <w:rPr>
                <w:sz w:val="20"/>
                <w:szCs w:val="20"/>
              </w:rPr>
              <w:t>27</w:t>
            </w:r>
          </w:p>
          <w:p w14:paraId="203D4EEA" w14:textId="52B0220F" w:rsidR="00EC1AAE" w:rsidRPr="00EC1AAE" w:rsidRDefault="00EC1AAE" w:rsidP="00EC1AAE">
            <w:pPr>
              <w:jc w:val="center"/>
              <w:rPr>
                <w:sz w:val="20"/>
                <w:szCs w:val="20"/>
              </w:rPr>
            </w:pPr>
            <w:r>
              <w:rPr>
                <w:sz w:val="20"/>
                <w:szCs w:val="20"/>
              </w:rPr>
              <w:t>(0.104)</w:t>
            </w:r>
          </w:p>
        </w:tc>
        <w:tc>
          <w:tcPr>
            <w:tcW w:w="1170" w:type="dxa"/>
            <w:vAlign w:val="center"/>
          </w:tcPr>
          <w:p w14:paraId="6B091D7A" w14:textId="56935CD6" w:rsidR="00EC1AAE" w:rsidRPr="00EC1AAE" w:rsidRDefault="00EC1AAE" w:rsidP="00EC1AAE">
            <w:pPr>
              <w:jc w:val="center"/>
              <w:rPr>
                <w:sz w:val="20"/>
                <w:szCs w:val="20"/>
              </w:rPr>
            </w:pPr>
            <w:r w:rsidRPr="005E615B">
              <w:rPr>
                <w:b/>
                <w:bCs/>
                <w:sz w:val="20"/>
                <w:szCs w:val="20"/>
              </w:rPr>
              <w:t>0.4</w:t>
            </w:r>
            <w:r w:rsidR="00725F3A">
              <w:rPr>
                <w:b/>
                <w:bCs/>
                <w:sz w:val="20"/>
                <w:szCs w:val="20"/>
              </w:rPr>
              <w:t>84</w:t>
            </w:r>
            <w:r w:rsidRPr="005E615B">
              <w:rPr>
                <w:b/>
                <w:bCs/>
                <w:sz w:val="20"/>
                <w:szCs w:val="20"/>
                <w:vertAlign w:val="superscript"/>
              </w:rPr>
              <w:t>**</w:t>
            </w:r>
            <w:r>
              <w:rPr>
                <w:sz w:val="20"/>
                <w:szCs w:val="20"/>
              </w:rPr>
              <w:br/>
              <w:t>(0.11</w:t>
            </w:r>
            <w:r w:rsidR="00725F3A">
              <w:rPr>
                <w:sz w:val="20"/>
                <w:szCs w:val="20"/>
              </w:rPr>
              <w:t>3</w:t>
            </w:r>
            <w:r>
              <w:rPr>
                <w:sz w:val="20"/>
                <w:szCs w:val="20"/>
              </w:rPr>
              <w:t>)</w:t>
            </w:r>
          </w:p>
        </w:tc>
        <w:tc>
          <w:tcPr>
            <w:tcW w:w="1260" w:type="dxa"/>
            <w:vAlign w:val="center"/>
          </w:tcPr>
          <w:p w14:paraId="4E2AAB1F" w14:textId="30BCFD3B" w:rsidR="00EC1AAE" w:rsidRPr="00EC1AAE" w:rsidRDefault="007027D7" w:rsidP="00EC1AAE">
            <w:pPr>
              <w:jc w:val="center"/>
              <w:rPr>
                <w:sz w:val="20"/>
                <w:szCs w:val="20"/>
              </w:rPr>
            </w:pPr>
            <w:r>
              <w:rPr>
                <w:sz w:val="20"/>
                <w:szCs w:val="20"/>
              </w:rPr>
              <w:t>---</w:t>
            </w:r>
          </w:p>
        </w:tc>
        <w:tc>
          <w:tcPr>
            <w:tcW w:w="1440" w:type="dxa"/>
            <w:vAlign w:val="center"/>
          </w:tcPr>
          <w:p w14:paraId="78385DD0" w14:textId="79E558F5" w:rsidR="00EC1AAE" w:rsidRPr="00EC1AAE" w:rsidRDefault="00AD2093" w:rsidP="00EC1AAE">
            <w:pPr>
              <w:jc w:val="center"/>
              <w:rPr>
                <w:sz w:val="20"/>
                <w:szCs w:val="20"/>
              </w:rPr>
            </w:pPr>
            <w:r>
              <w:rPr>
                <w:sz w:val="20"/>
                <w:szCs w:val="20"/>
              </w:rPr>
              <w:t>---</w:t>
            </w:r>
          </w:p>
        </w:tc>
        <w:tc>
          <w:tcPr>
            <w:tcW w:w="1440" w:type="dxa"/>
            <w:vAlign w:val="center"/>
          </w:tcPr>
          <w:p w14:paraId="2035C221" w14:textId="0B4A7B0B" w:rsidR="00EC1AAE" w:rsidRPr="00EC1AAE" w:rsidRDefault="00AD2093" w:rsidP="00EC1AAE">
            <w:pPr>
              <w:jc w:val="center"/>
              <w:rPr>
                <w:sz w:val="20"/>
                <w:szCs w:val="20"/>
              </w:rPr>
            </w:pPr>
            <w:r>
              <w:rPr>
                <w:sz w:val="20"/>
                <w:szCs w:val="20"/>
              </w:rPr>
              <w:t>---</w:t>
            </w:r>
          </w:p>
        </w:tc>
      </w:tr>
      <w:tr w:rsidR="00EC1AAE" w14:paraId="63998B91" w14:textId="49652349" w:rsidTr="00EC1AAE">
        <w:trPr>
          <w:trHeight w:val="317"/>
        </w:trPr>
        <w:tc>
          <w:tcPr>
            <w:tcW w:w="1323" w:type="dxa"/>
            <w:vAlign w:val="center"/>
          </w:tcPr>
          <w:p w14:paraId="020C7004" w14:textId="412115CF" w:rsidR="00EC1AAE" w:rsidRPr="00EC1AAE" w:rsidRDefault="00EC1AAE" w:rsidP="007F79CB">
            <w:pPr>
              <w:jc w:val="right"/>
              <w:rPr>
                <w:sz w:val="16"/>
                <w:szCs w:val="16"/>
              </w:rPr>
            </w:pPr>
            <w:r>
              <w:rPr>
                <w:sz w:val="16"/>
                <w:szCs w:val="16"/>
              </w:rPr>
              <w:t>Moss Street Partnership School</w:t>
            </w:r>
          </w:p>
        </w:tc>
        <w:tc>
          <w:tcPr>
            <w:tcW w:w="1287" w:type="dxa"/>
            <w:vAlign w:val="center"/>
          </w:tcPr>
          <w:p w14:paraId="2A14BCC5" w14:textId="44DD10A2" w:rsidR="00EC1AAE" w:rsidRPr="00EC1AAE" w:rsidRDefault="00EC1AAE" w:rsidP="00EC1AAE">
            <w:pPr>
              <w:jc w:val="center"/>
              <w:rPr>
                <w:b/>
                <w:bCs/>
                <w:sz w:val="20"/>
                <w:szCs w:val="20"/>
                <w:vertAlign w:val="superscript"/>
              </w:rPr>
            </w:pPr>
            <w:r w:rsidRPr="00EC1AAE">
              <w:rPr>
                <w:b/>
                <w:bCs/>
                <w:sz w:val="20"/>
                <w:szCs w:val="20"/>
              </w:rPr>
              <w:t>-0.52</w:t>
            </w:r>
            <w:r w:rsidR="00725F3A">
              <w:rPr>
                <w:b/>
                <w:bCs/>
                <w:sz w:val="20"/>
                <w:szCs w:val="20"/>
              </w:rPr>
              <w:t>5</w:t>
            </w:r>
            <w:r w:rsidRPr="00EC1AAE">
              <w:rPr>
                <w:b/>
                <w:bCs/>
                <w:sz w:val="20"/>
                <w:szCs w:val="20"/>
                <w:vertAlign w:val="superscript"/>
              </w:rPr>
              <w:t>**</w:t>
            </w:r>
          </w:p>
          <w:p w14:paraId="3231E7E0" w14:textId="2F3BB9B1" w:rsidR="00EC1AAE" w:rsidRPr="00EC1AAE" w:rsidRDefault="00EC1AAE" w:rsidP="00EC1AAE">
            <w:pPr>
              <w:jc w:val="center"/>
              <w:rPr>
                <w:sz w:val="20"/>
                <w:szCs w:val="20"/>
              </w:rPr>
            </w:pPr>
            <w:r>
              <w:rPr>
                <w:sz w:val="20"/>
                <w:szCs w:val="20"/>
              </w:rPr>
              <w:t>(0.04</w:t>
            </w:r>
            <w:r w:rsidR="00725F3A">
              <w:rPr>
                <w:sz w:val="20"/>
                <w:szCs w:val="20"/>
              </w:rPr>
              <w:t>4</w:t>
            </w:r>
            <w:r>
              <w:rPr>
                <w:sz w:val="20"/>
                <w:szCs w:val="20"/>
              </w:rPr>
              <w:t>)</w:t>
            </w:r>
          </w:p>
        </w:tc>
        <w:tc>
          <w:tcPr>
            <w:tcW w:w="1440" w:type="dxa"/>
            <w:vAlign w:val="center"/>
          </w:tcPr>
          <w:p w14:paraId="2551CF42" w14:textId="1F888676" w:rsidR="00EC1AAE" w:rsidRPr="00EC1AAE" w:rsidRDefault="00EC1AAE" w:rsidP="00EC1AAE">
            <w:pPr>
              <w:jc w:val="center"/>
              <w:rPr>
                <w:b/>
                <w:bCs/>
                <w:sz w:val="20"/>
                <w:szCs w:val="20"/>
                <w:vertAlign w:val="superscript"/>
              </w:rPr>
            </w:pPr>
            <w:r w:rsidRPr="00EC1AAE">
              <w:rPr>
                <w:b/>
                <w:bCs/>
                <w:sz w:val="20"/>
                <w:szCs w:val="20"/>
              </w:rPr>
              <w:t>-0.43</w:t>
            </w:r>
            <w:r w:rsidR="00725F3A">
              <w:rPr>
                <w:b/>
                <w:bCs/>
                <w:sz w:val="20"/>
                <w:szCs w:val="20"/>
              </w:rPr>
              <w:t>2</w:t>
            </w:r>
            <w:r w:rsidRPr="00EC1AAE">
              <w:rPr>
                <w:b/>
                <w:bCs/>
                <w:sz w:val="20"/>
                <w:szCs w:val="20"/>
                <w:vertAlign w:val="superscript"/>
              </w:rPr>
              <w:t>**</w:t>
            </w:r>
          </w:p>
          <w:p w14:paraId="3F994C7A" w14:textId="0163F3E6" w:rsidR="00EC1AAE" w:rsidRPr="00EC1AAE" w:rsidRDefault="00EC1AAE" w:rsidP="00EC1AAE">
            <w:pPr>
              <w:jc w:val="center"/>
              <w:rPr>
                <w:sz w:val="20"/>
                <w:szCs w:val="20"/>
              </w:rPr>
            </w:pPr>
            <w:r>
              <w:rPr>
                <w:sz w:val="20"/>
                <w:szCs w:val="20"/>
              </w:rPr>
              <w:t>(0.04</w:t>
            </w:r>
            <w:r w:rsidR="00725F3A">
              <w:rPr>
                <w:sz w:val="20"/>
                <w:szCs w:val="20"/>
              </w:rPr>
              <w:t>7</w:t>
            </w:r>
            <w:r>
              <w:rPr>
                <w:sz w:val="20"/>
                <w:szCs w:val="20"/>
              </w:rPr>
              <w:t>)</w:t>
            </w:r>
          </w:p>
        </w:tc>
        <w:tc>
          <w:tcPr>
            <w:tcW w:w="1170" w:type="dxa"/>
            <w:vAlign w:val="center"/>
          </w:tcPr>
          <w:p w14:paraId="0B989172" w14:textId="0EAEEFBF" w:rsidR="00EC1AAE" w:rsidRPr="00EC1AAE" w:rsidRDefault="00EC1AAE" w:rsidP="00EC1AAE">
            <w:pPr>
              <w:jc w:val="center"/>
              <w:rPr>
                <w:b/>
                <w:bCs/>
                <w:sz w:val="20"/>
                <w:szCs w:val="20"/>
                <w:vertAlign w:val="superscript"/>
              </w:rPr>
            </w:pPr>
            <w:r w:rsidRPr="00EC1AAE">
              <w:rPr>
                <w:b/>
                <w:bCs/>
                <w:sz w:val="20"/>
                <w:szCs w:val="20"/>
              </w:rPr>
              <w:t>-0.8</w:t>
            </w:r>
            <w:r w:rsidR="00725F3A">
              <w:rPr>
                <w:b/>
                <w:bCs/>
                <w:sz w:val="20"/>
                <w:szCs w:val="20"/>
              </w:rPr>
              <w:t>44</w:t>
            </w:r>
            <w:r w:rsidRPr="00EC1AAE">
              <w:rPr>
                <w:b/>
                <w:bCs/>
                <w:sz w:val="20"/>
                <w:szCs w:val="20"/>
                <w:vertAlign w:val="superscript"/>
              </w:rPr>
              <w:t>**</w:t>
            </w:r>
          </w:p>
          <w:p w14:paraId="7717B577" w14:textId="184676B0" w:rsidR="00EC1AAE" w:rsidRPr="00EC1AAE" w:rsidRDefault="00EC1AAE" w:rsidP="00EC1AAE">
            <w:pPr>
              <w:jc w:val="center"/>
              <w:rPr>
                <w:sz w:val="20"/>
                <w:szCs w:val="20"/>
              </w:rPr>
            </w:pPr>
            <w:r>
              <w:rPr>
                <w:sz w:val="20"/>
                <w:szCs w:val="20"/>
              </w:rPr>
              <w:t>(0.07</w:t>
            </w:r>
            <w:r w:rsidR="00725F3A">
              <w:rPr>
                <w:sz w:val="20"/>
                <w:szCs w:val="20"/>
              </w:rPr>
              <w:t>4</w:t>
            </w:r>
            <w:r>
              <w:rPr>
                <w:sz w:val="20"/>
                <w:szCs w:val="20"/>
              </w:rPr>
              <w:t>)</w:t>
            </w:r>
          </w:p>
        </w:tc>
        <w:tc>
          <w:tcPr>
            <w:tcW w:w="1260" w:type="dxa"/>
            <w:vAlign w:val="center"/>
          </w:tcPr>
          <w:p w14:paraId="7E473A24" w14:textId="26F162EA" w:rsidR="00EC1AAE" w:rsidRPr="00EC1AAE" w:rsidRDefault="007027D7" w:rsidP="00EC1AAE">
            <w:pPr>
              <w:jc w:val="center"/>
              <w:rPr>
                <w:sz w:val="20"/>
                <w:szCs w:val="20"/>
              </w:rPr>
            </w:pPr>
            <w:r>
              <w:rPr>
                <w:sz w:val="20"/>
                <w:szCs w:val="20"/>
              </w:rPr>
              <w:t>---</w:t>
            </w:r>
          </w:p>
        </w:tc>
        <w:tc>
          <w:tcPr>
            <w:tcW w:w="1440" w:type="dxa"/>
            <w:vAlign w:val="center"/>
          </w:tcPr>
          <w:p w14:paraId="6DB846FB" w14:textId="51A69E76" w:rsidR="00EC1AAE" w:rsidRPr="00EC1AAE" w:rsidRDefault="00AD2093" w:rsidP="00EC1AAE">
            <w:pPr>
              <w:jc w:val="center"/>
              <w:rPr>
                <w:sz w:val="20"/>
                <w:szCs w:val="20"/>
              </w:rPr>
            </w:pPr>
            <w:r>
              <w:rPr>
                <w:sz w:val="20"/>
                <w:szCs w:val="20"/>
              </w:rPr>
              <w:t>---</w:t>
            </w:r>
          </w:p>
        </w:tc>
        <w:tc>
          <w:tcPr>
            <w:tcW w:w="1440" w:type="dxa"/>
            <w:vAlign w:val="center"/>
          </w:tcPr>
          <w:p w14:paraId="4807834E" w14:textId="3567B3ED" w:rsidR="00EC1AAE" w:rsidRPr="00EC1AAE" w:rsidRDefault="00AD2093" w:rsidP="00EC1AAE">
            <w:pPr>
              <w:jc w:val="center"/>
              <w:rPr>
                <w:sz w:val="20"/>
                <w:szCs w:val="20"/>
              </w:rPr>
            </w:pPr>
            <w:r>
              <w:rPr>
                <w:sz w:val="20"/>
                <w:szCs w:val="20"/>
              </w:rPr>
              <w:t>---</w:t>
            </w:r>
          </w:p>
        </w:tc>
      </w:tr>
      <w:tr w:rsidR="00EC1AAE" w14:paraId="6F09BA0A" w14:textId="77777777" w:rsidTr="00EC1AAE">
        <w:trPr>
          <w:trHeight w:val="317"/>
        </w:trPr>
        <w:tc>
          <w:tcPr>
            <w:tcW w:w="1323" w:type="dxa"/>
            <w:vAlign w:val="center"/>
          </w:tcPr>
          <w:p w14:paraId="3EE7789C" w14:textId="2808006D" w:rsidR="00EC1AAE" w:rsidRPr="00EC1AAE" w:rsidRDefault="00EC1AAE" w:rsidP="007F79CB">
            <w:pPr>
              <w:jc w:val="right"/>
              <w:rPr>
                <w:sz w:val="16"/>
                <w:szCs w:val="16"/>
              </w:rPr>
            </w:pPr>
            <w:r>
              <w:rPr>
                <w:sz w:val="16"/>
                <w:szCs w:val="16"/>
              </w:rPr>
              <w:t>D.C. Virgo Preparatory Academy</w:t>
            </w:r>
          </w:p>
        </w:tc>
        <w:tc>
          <w:tcPr>
            <w:tcW w:w="1287" w:type="dxa"/>
            <w:vAlign w:val="center"/>
          </w:tcPr>
          <w:p w14:paraId="4366A9FD" w14:textId="036A2B27" w:rsidR="00EC1AAE" w:rsidRPr="00EC1AAE" w:rsidRDefault="00EC1AAE" w:rsidP="00EC1AAE">
            <w:pPr>
              <w:jc w:val="center"/>
              <w:rPr>
                <w:b/>
                <w:bCs/>
                <w:sz w:val="20"/>
                <w:szCs w:val="20"/>
                <w:vertAlign w:val="superscript"/>
              </w:rPr>
            </w:pPr>
            <w:r w:rsidRPr="00EC1AAE">
              <w:rPr>
                <w:b/>
                <w:bCs/>
                <w:sz w:val="20"/>
                <w:szCs w:val="20"/>
              </w:rPr>
              <w:t>-0.27</w:t>
            </w:r>
            <w:r w:rsidR="00725F3A">
              <w:rPr>
                <w:b/>
                <w:bCs/>
                <w:sz w:val="20"/>
                <w:szCs w:val="20"/>
              </w:rPr>
              <w:t>3</w:t>
            </w:r>
            <w:r w:rsidRPr="00EC1AAE">
              <w:rPr>
                <w:b/>
                <w:bCs/>
                <w:sz w:val="20"/>
                <w:szCs w:val="20"/>
                <w:vertAlign w:val="superscript"/>
              </w:rPr>
              <w:t>*</w:t>
            </w:r>
          </w:p>
          <w:p w14:paraId="510AD6EE" w14:textId="573446E3" w:rsidR="00EC1AAE" w:rsidRPr="00EC1AAE" w:rsidRDefault="00EC1AAE" w:rsidP="00EC1AAE">
            <w:pPr>
              <w:jc w:val="center"/>
              <w:rPr>
                <w:sz w:val="20"/>
                <w:szCs w:val="20"/>
              </w:rPr>
            </w:pPr>
            <w:r>
              <w:rPr>
                <w:sz w:val="20"/>
                <w:szCs w:val="20"/>
              </w:rPr>
              <w:t>(0.12</w:t>
            </w:r>
            <w:r w:rsidR="00725F3A">
              <w:rPr>
                <w:sz w:val="20"/>
                <w:szCs w:val="20"/>
              </w:rPr>
              <w:t>5</w:t>
            </w:r>
            <w:r>
              <w:rPr>
                <w:sz w:val="20"/>
                <w:szCs w:val="20"/>
              </w:rPr>
              <w:t>)</w:t>
            </w:r>
          </w:p>
        </w:tc>
        <w:tc>
          <w:tcPr>
            <w:tcW w:w="1440" w:type="dxa"/>
            <w:vAlign w:val="center"/>
          </w:tcPr>
          <w:p w14:paraId="3AE7B6CD" w14:textId="2C115BF5" w:rsidR="00EC1AAE" w:rsidRDefault="00EC1AAE" w:rsidP="00EC1AAE">
            <w:pPr>
              <w:jc w:val="center"/>
              <w:rPr>
                <w:sz w:val="20"/>
                <w:szCs w:val="20"/>
              </w:rPr>
            </w:pPr>
            <w:r>
              <w:rPr>
                <w:sz w:val="20"/>
                <w:szCs w:val="20"/>
              </w:rPr>
              <w:t>-0.14</w:t>
            </w:r>
            <w:r w:rsidR="00725F3A">
              <w:rPr>
                <w:sz w:val="20"/>
                <w:szCs w:val="20"/>
              </w:rPr>
              <w:t>7</w:t>
            </w:r>
          </w:p>
          <w:p w14:paraId="27E455A2" w14:textId="25557F0A" w:rsidR="00EC1AAE" w:rsidRPr="00EC1AAE" w:rsidRDefault="00EC1AAE" w:rsidP="00EC1AAE">
            <w:pPr>
              <w:jc w:val="center"/>
              <w:rPr>
                <w:sz w:val="20"/>
                <w:szCs w:val="20"/>
              </w:rPr>
            </w:pPr>
            <w:r>
              <w:rPr>
                <w:sz w:val="20"/>
                <w:szCs w:val="20"/>
              </w:rPr>
              <w:t>(0.09</w:t>
            </w:r>
            <w:r w:rsidR="00725F3A">
              <w:rPr>
                <w:sz w:val="20"/>
                <w:szCs w:val="20"/>
              </w:rPr>
              <w:t>0</w:t>
            </w:r>
            <w:r>
              <w:rPr>
                <w:sz w:val="20"/>
                <w:szCs w:val="20"/>
              </w:rPr>
              <w:t>)</w:t>
            </w:r>
          </w:p>
        </w:tc>
        <w:tc>
          <w:tcPr>
            <w:tcW w:w="1170" w:type="dxa"/>
            <w:vAlign w:val="center"/>
          </w:tcPr>
          <w:p w14:paraId="06837932" w14:textId="03D76653" w:rsidR="00EC1AAE" w:rsidRDefault="00EC1AAE" w:rsidP="00EC1AAE">
            <w:pPr>
              <w:jc w:val="center"/>
              <w:rPr>
                <w:sz w:val="20"/>
                <w:szCs w:val="20"/>
              </w:rPr>
            </w:pPr>
            <w:r>
              <w:rPr>
                <w:sz w:val="20"/>
                <w:szCs w:val="20"/>
              </w:rPr>
              <w:t>0.0</w:t>
            </w:r>
            <w:r w:rsidR="00725F3A">
              <w:rPr>
                <w:sz w:val="20"/>
                <w:szCs w:val="20"/>
              </w:rPr>
              <w:t>51</w:t>
            </w:r>
          </w:p>
          <w:p w14:paraId="7DB5F446" w14:textId="52C90074" w:rsidR="00EC1AAE" w:rsidRPr="00EC1AAE" w:rsidRDefault="00EC1AAE" w:rsidP="00EC1AAE">
            <w:pPr>
              <w:jc w:val="center"/>
              <w:rPr>
                <w:sz w:val="20"/>
                <w:szCs w:val="20"/>
              </w:rPr>
            </w:pPr>
            <w:r>
              <w:rPr>
                <w:sz w:val="20"/>
                <w:szCs w:val="20"/>
              </w:rPr>
              <w:t>(0.14</w:t>
            </w:r>
            <w:r w:rsidR="00725F3A">
              <w:rPr>
                <w:sz w:val="20"/>
                <w:szCs w:val="20"/>
              </w:rPr>
              <w:t>6</w:t>
            </w:r>
            <w:r>
              <w:rPr>
                <w:sz w:val="20"/>
                <w:szCs w:val="20"/>
              </w:rPr>
              <w:t>)</w:t>
            </w:r>
          </w:p>
        </w:tc>
        <w:tc>
          <w:tcPr>
            <w:tcW w:w="1260" w:type="dxa"/>
            <w:vAlign w:val="center"/>
          </w:tcPr>
          <w:p w14:paraId="033AED7A" w14:textId="5F570E98" w:rsidR="00EC1AAE" w:rsidRDefault="00AD2093" w:rsidP="00EC1AAE">
            <w:pPr>
              <w:jc w:val="center"/>
              <w:rPr>
                <w:sz w:val="20"/>
                <w:szCs w:val="20"/>
              </w:rPr>
            </w:pPr>
            <w:r>
              <w:rPr>
                <w:sz w:val="20"/>
                <w:szCs w:val="20"/>
              </w:rPr>
              <w:t>-0.07</w:t>
            </w:r>
            <w:r w:rsidR="0079795A">
              <w:rPr>
                <w:sz w:val="20"/>
                <w:szCs w:val="20"/>
              </w:rPr>
              <w:t>2</w:t>
            </w:r>
          </w:p>
          <w:p w14:paraId="48692C1F" w14:textId="58989271" w:rsidR="00AD2093" w:rsidRPr="00EC1AAE" w:rsidRDefault="00AD2093" w:rsidP="00EC1AAE">
            <w:pPr>
              <w:jc w:val="center"/>
              <w:rPr>
                <w:sz w:val="20"/>
                <w:szCs w:val="20"/>
              </w:rPr>
            </w:pPr>
            <w:r>
              <w:rPr>
                <w:sz w:val="20"/>
                <w:szCs w:val="20"/>
              </w:rPr>
              <w:t>(0.04</w:t>
            </w:r>
            <w:r w:rsidR="0079795A">
              <w:rPr>
                <w:sz w:val="20"/>
                <w:szCs w:val="20"/>
              </w:rPr>
              <w:t>8</w:t>
            </w:r>
            <w:r>
              <w:rPr>
                <w:sz w:val="20"/>
                <w:szCs w:val="20"/>
              </w:rPr>
              <w:t>)</w:t>
            </w:r>
          </w:p>
        </w:tc>
        <w:tc>
          <w:tcPr>
            <w:tcW w:w="1440" w:type="dxa"/>
            <w:vAlign w:val="center"/>
          </w:tcPr>
          <w:p w14:paraId="08A40646" w14:textId="13A34783" w:rsidR="00EC1AAE" w:rsidRPr="0079795A" w:rsidRDefault="00AD2093" w:rsidP="00EC1AAE">
            <w:pPr>
              <w:jc w:val="center"/>
              <w:rPr>
                <w:b/>
                <w:bCs/>
                <w:sz w:val="20"/>
                <w:szCs w:val="20"/>
                <w:vertAlign w:val="superscript"/>
              </w:rPr>
            </w:pPr>
            <w:r w:rsidRPr="00AD2093">
              <w:rPr>
                <w:b/>
                <w:bCs/>
                <w:sz w:val="20"/>
                <w:szCs w:val="20"/>
              </w:rPr>
              <w:t>-0.1</w:t>
            </w:r>
            <w:r w:rsidR="0079795A">
              <w:rPr>
                <w:b/>
                <w:bCs/>
                <w:sz w:val="20"/>
                <w:szCs w:val="20"/>
              </w:rPr>
              <w:t>06</w:t>
            </w:r>
            <w:r w:rsidR="0079795A">
              <w:rPr>
                <w:b/>
                <w:bCs/>
                <w:sz w:val="20"/>
                <w:szCs w:val="20"/>
                <w:vertAlign w:val="superscript"/>
              </w:rPr>
              <w:t>+</w:t>
            </w:r>
          </w:p>
          <w:p w14:paraId="05CE837F" w14:textId="003D3F14" w:rsidR="00AD2093" w:rsidRPr="00EC1AAE" w:rsidRDefault="00AD2093" w:rsidP="00EC1AAE">
            <w:pPr>
              <w:jc w:val="center"/>
              <w:rPr>
                <w:sz w:val="20"/>
                <w:szCs w:val="20"/>
              </w:rPr>
            </w:pPr>
            <w:r>
              <w:rPr>
                <w:sz w:val="20"/>
                <w:szCs w:val="20"/>
              </w:rPr>
              <w:t>(0.056)</w:t>
            </w:r>
          </w:p>
        </w:tc>
        <w:tc>
          <w:tcPr>
            <w:tcW w:w="1440" w:type="dxa"/>
            <w:vAlign w:val="center"/>
          </w:tcPr>
          <w:p w14:paraId="7371357E" w14:textId="71FBADEA" w:rsidR="00EC1AAE" w:rsidRDefault="00AD2093" w:rsidP="00EC1AAE">
            <w:pPr>
              <w:jc w:val="center"/>
              <w:rPr>
                <w:sz w:val="20"/>
                <w:szCs w:val="20"/>
              </w:rPr>
            </w:pPr>
            <w:r>
              <w:rPr>
                <w:sz w:val="20"/>
                <w:szCs w:val="20"/>
              </w:rPr>
              <w:t>0.0</w:t>
            </w:r>
            <w:r w:rsidR="0079795A">
              <w:rPr>
                <w:sz w:val="20"/>
                <w:szCs w:val="20"/>
              </w:rPr>
              <w:t>33</w:t>
            </w:r>
          </w:p>
          <w:p w14:paraId="5E9757A2" w14:textId="7CC6FDFC" w:rsidR="00AD2093" w:rsidRPr="00EC1AAE" w:rsidRDefault="00AD2093" w:rsidP="00EC1AAE">
            <w:pPr>
              <w:jc w:val="center"/>
              <w:rPr>
                <w:sz w:val="20"/>
                <w:szCs w:val="20"/>
              </w:rPr>
            </w:pPr>
            <w:r>
              <w:rPr>
                <w:sz w:val="20"/>
                <w:szCs w:val="20"/>
              </w:rPr>
              <w:t>(0.11</w:t>
            </w:r>
            <w:r w:rsidR="0079795A">
              <w:rPr>
                <w:sz w:val="20"/>
                <w:szCs w:val="20"/>
              </w:rPr>
              <w:t>7</w:t>
            </w:r>
            <w:r>
              <w:rPr>
                <w:sz w:val="20"/>
                <w:szCs w:val="20"/>
              </w:rPr>
              <w:t>)</w:t>
            </w:r>
          </w:p>
        </w:tc>
      </w:tr>
      <w:tr w:rsidR="00EC1AAE" w14:paraId="11146731" w14:textId="77777777" w:rsidTr="00EC1AAE">
        <w:trPr>
          <w:trHeight w:val="317"/>
        </w:trPr>
        <w:tc>
          <w:tcPr>
            <w:tcW w:w="1323" w:type="dxa"/>
            <w:vAlign w:val="center"/>
          </w:tcPr>
          <w:p w14:paraId="633309D1" w14:textId="1E1C2065" w:rsidR="00EC1AAE" w:rsidRPr="00EC1AAE" w:rsidRDefault="00EC1AAE" w:rsidP="007F79CB">
            <w:pPr>
              <w:jc w:val="right"/>
              <w:rPr>
                <w:sz w:val="16"/>
                <w:szCs w:val="16"/>
              </w:rPr>
            </w:pPr>
            <w:r>
              <w:rPr>
                <w:sz w:val="16"/>
                <w:szCs w:val="16"/>
              </w:rPr>
              <w:t>The Catamount School</w:t>
            </w:r>
          </w:p>
        </w:tc>
        <w:tc>
          <w:tcPr>
            <w:tcW w:w="1287" w:type="dxa"/>
            <w:vAlign w:val="center"/>
          </w:tcPr>
          <w:p w14:paraId="380C7E41" w14:textId="714653E0" w:rsidR="00EC1AAE" w:rsidRPr="00EC1AAE" w:rsidRDefault="00EC1AAE" w:rsidP="00EC1AAE">
            <w:pPr>
              <w:jc w:val="center"/>
              <w:rPr>
                <w:sz w:val="20"/>
                <w:szCs w:val="20"/>
              </w:rPr>
            </w:pPr>
            <w:r>
              <w:rPr>
                <w:sz w:val="20"/>
                <w:szCs w:val="20"/>
              </w:rPr>
              <w:t>---</w:t>
            </w:r>
          </w:p>
        </w:tc>
        <w:tc>
          <w:tcPr>
            <w:tcW w:w="1440" w:type="dxa"/>
            <w:vAlign w:val="center"/>
          </w:tcPr>
          <w:p w14:paraId="52544998" w14:textId="62CAFD2E" w:rsidR="00EC1AAE" w:rsidRPr="00EC1AAE" w:rsidRDefault="00EC1AAE" w:rsidP="00EC1AAE">
            <w:pPr>
              <w:jc w:val="center"/>
              <w:rPr>
                <w:sz w:val="20"/>
                <w:szCs w:val="20"/>
              </w:rPr>
            </w:pPr>
            <w:r>
              <w:rPr>
                <w:sz w:val="20"/>
                <w:szCs w:val="20"/>
              </w:rPr>
              <w:t>---</w:t>
            </w:r>
          </w:p>
        </w:tc>
        <w:tc>
          <w:tcPr>
            <w:tcW w:w="1170" w:type="dxa"/>
            <w:vAlign w:val="center"/>
          </w:tcPr>
          <w:p w14:paraId="06983F16" w14:textId="1BFD7A71" w:rsidR="00EC1AAE" w:rsidRPr="00EC1AAE" w:rsidRDefault="00EC1AAE" w:rsidP="00EC1AAE">
            <w:pPr>
              <w:jc w:val="center"/>
              <w:rPr>
                <w:sz w:val="20"/>
                <w:szCs w:val="20"/>
              </w:rPr>
            </w:pPr>
            <w:r>
              <w:rPr>
                <w:sz w:val="20"/>
                <w:szCs w:val="20"/>
              </w:rPr>
              <w:t>---</w:t>
            </w:r>
          </w:p>
        </w:tc>
        <w:tc>
          <w:tcPr>
            <w:tcW w:w="1260" w:type="dxa"/>
            <w:vAlign w:val="center"/>
          </w:tcPr>
          <w:p w14:paraId="5A27203C" w14:textId="61DFC1E8" w:rsidR="00EC1AAE" w:rsidRPr="00AD2093" w:rsidRDefault="00AD2093" w:rsidP="00EC1AAE">
            <w:pPr>
              <w:jc w:val="center"/>
              <w:rPr>
                <w:b/>
                <w:bCs/>
                <w:sz w:val="20"/>
                <w:szCs w:val="20"/>
                <w:vertAlign w:val="superscript"/>
              </w:rPr>
            </w:pPr>
            <w:r w:rsidRPr="00AD2093">
              <w:rPr>
                <w:b/>
                <w:bCs/>
                <w:sz w:val="20"/>
                <w:szCs w:val="20"/>
              </w:rPr>
              <w:t>-0.5</w:t>
            </w:r>
            <w:r w:rsidR="0079795A">
              <w:rPr>
                <w:b/>
                <w:bCs/>
                <w:sz w:val="20"/>
                <w:szCs w:val="20"/>
              </w:rPr>
              <w:t>64</w:t>
            </w:r>
            <w:r w:rsidRPr="00AD2093">
              <w:rPr>
                <w:b/>
                <w:bCs/>
                <w:sz w:val="20"/>
                <w:szCs w:val="20"/>
                <w:vertAlign w:val="superscript"/>
              </w:rPr>
              <w:t>**</w:t>
            </w:r>
          </w:p>
          <w:p w14:paraId="19B8F3EE" w14:textId="17FD0EEB" w:rsidR="00AD2093" w:rsidRPr="00EC1AAE" w:rsidRDefault="00AD2093" w:rsidP="00EC1AAE">
            <w:pPr>
              <w:jc w:val="center"/>
              <w:rPr>
                <w:sz w:val="20"/>
                <w:szCs w:val="20"/>
              </w:rPr>
            </w:pPr>
            <w:r>
              <w:rPr>
                <w:sz w:val="20"/>
                <w:szCs w:val="20"/>
              </w:rPr>
              <w:t>(0.07</w:t>
            </w:r>
            <w:r w:rsidR="0079795A">
              <w:rPr>
                <w:sz w:val="20"/>
                <w:szCs w:val="20"/>
              </w:rPr>
              <w:t>3</w:t>
            </w:r>
            <w:r>
              <w:rPr>
                <w:sz w:val="20"/>
                <w:szCs w:val="20"/>
              </w:rPr>
              <w:t>)</w:t>
            </w:r>
          </w:p>
        </w:tc>
        <w:tc>
          <w:tcPr>
            <w:tcW w:w="1440" w:type="dxa"/>
            <w:vAlign w:val="center"/>
          </w:tcPr>
          <w:p w14:paraId="0A02E814" w14:textId="2F629B61" w:rsidR="00EC1AAE" w:rsidRDefault="00AD2093" w:rsidP="00EC1AAE">
            <w:pPr>
              <w:jc w:val="center"/>
              <w:rPr>
                <w:sz w:val="20"/>
                <w:szCs w:val="20"/>
              </w:rPr>
            </w:pPr>
            <w:r>
              <w:rPr>
                <w:sz w:val="20"/>
                <w:szCs w:val="20"/>
              </w:rPr>
              <w:t>0.0</w:t>
            </w:r>
            <w:r w:rsidR="0079795A">
              <w:rPr>
                <w:sz w:val="20"/>
                <w:szCs w:val="20"/>
              </w:rPr>
              <w:t>09</w:t>
            </w:r>
          </w:p>
          <w:p w14:paraId="6772A921" w14:textId="2B41B2EC" w:rsidR="00AD2093" w:rsidRPr="00EC1AAE" w:rsidRDefault="00AD2093" w:rsidP="00EC1AAE">
            <w:pPr>
              <w:jc w:val="center"/>
              <w:rPr>
                <w:sz w:val="20"/>
                <w:szCs w:val="20"/>
              </w:rPr>
            </w:pPr>
            <w:r>
              <w:rPr>
                <w:sz w:val="20"/>
                <w:szCs w:val="20"/>
              </w:rPr>
              <w:t>(0.08</w:t>
            </w:r>
            <w:r w:rsidR="0079795A">
              <w:rPr>
                <w:sz w:val="20"/>
                <w:szCs w:val="20"/>
              </w:rPr>
              <w:t>3</w:t>
            </w:r>
            <w:r>
              <w:rPr>
                <w:sz w:val="20"/>
                <w:szCs w:val="20"/>
              </w:rPr>
              <w:t>)</w:t>
            </w:r>
          </w:p>
        </w:tc>
        <w:tc>
          <w:tcPr>
            <w:tcW w:w="1440" w:type="dxa"/>
            <w:vAlign w:val="center"/>
          </w:tcPr>
          <w:p w14:paraId="229EC7BC" w14:textId="77777777" w:rsidR="00EC1AAE" w:rsidRDefault="00AD2093" w:rsidP="00EC1AAE">
            <w:pPr>
              <w:jc w:val="center"/>
              <w:rPr>
                <w:sz w:val="20"/>
                <w:szCs w:val="20"/>
              </w:rPr>
            </w:pPr>
            <w:r>
              <w:rPr>
                <w:sz w:val="20"/>
                <w:szCs w:val="20"/>
              </w:rPr>
              <w:t>0.037</w:t>
            </w:r>
          </w:p>
          <w:p w14:paraId="34CF559E" w14:textId="6702597D" w:rsidR="00AD2093" w:rsidRPr="00EC1AAE" w:rsidRDefault="00AD2093" w:rsidP="00EC1AAE">
            <w:pPr>
              <w:jc w:val="center"/>
              <w:rPr>
                <w:sz w:val="20"/>
                <w:szCs w:val="20"/>
              </w:rPr>
            </w:pPr>
            <w:r>
              <w:rPr>
                <w:sz w:val="20"/>
                <w:szCs w:val="20"/>
              </w:rPr>
              <w:t>(0.1</w:t>
            </w:r>
            <w:r w:rsidR="0079795A">
              <w:rPr>
                <w:sz w:val="20"/>
                <w:szCs w:val="20"/>
              </w:rPr>
              <w:t>13</w:t>
            </w:r>
            <w:r>
              <w:rPr>
                <w:sz w:val="20"/>
                <w:szCs w:val="20"/>
              </w:rPr>
              <w:t>)</w:t>
            </w:r>
          </w:p>
        </w:tc>
      </w:tr>
      <w:tr w:rsidR="00EC1AAE" w14:paraId="2EF439C5" w14:textId="77777777" w:rsidTr="007F79CB">
        <w:trPr>
          <w:trHeight w:val="317"/>
        </w:trPr>
        <w:tc>
          <w:tcPr>
            <w:tcW w:w="9360" w:type="dxa"/>
            <w:gridSpan w:val="7"/>
            <w:vAlign w:val="center"/>
          </w:tcPr>
          <w:p w14:paraId="556C187C" w14:textId="77777777" w:rsidR="00EC1AAE" w:rsidRPr="00EC1AAE" w:rsidRDefault="00EC1AAE" w:rsidP="007F79CB">
            <w:pPr>
              <w:jc w:val="center"/>
              <w:rPr>
                <w:sz w:val="20"/>
                <w:szCs w:val="20"/>
              </w:rPr>
            </w:pPr>
          </w:p>
        </w:tc>
      </w:tr>
      <w:tr w:rsidR="00EC1AAE" w14:paraId="7716062E" w14:textId="77777777" w:rsidTr="00EC1AAE">
        <w:trPr>
          <w:trHeight w:val="317"/>
        </w:trPr>
        <w:tc>
          <w:tcPr>
            <w:tcW w:w="1323" w:type="dxa"/>
            <w:vAlign w:val="center"/>
          </w:tcPr>
          <w:p w14:paraId="6A59038B" w14:textId="3ACC86CE" w:rsidR="00EC1AAE" w:rsidRPr="00EC1AAE" w:rsidRDefault="00EC1AAE" w:rsidP="007F79CB">
            <w:pPr>
              <w:jc w:val="right"/>
              <w:rPr>
                <w:sz w:val="16"/>
                <w:szCs w:val="16"/>
              </w:rPr>
            </w:pPr>
            <w:r>
              <w:rPr>
                <w:sz w:val="16"/>
                <w:szCs w:val="16"/>
              </w:rPr>
              <w:t>Observations</w:t>
            </w:r>
          </w:p>
        </w:tc>
        <w:tc>
          <w:tcPr>
            <w:tcW w:w="1287" w:type="dxa"/>
            <w:vAlign w:val="center"/>
          </w:tcPr>
          <w:p w14:paraId="73E9E88C" w14:textId="0AB5E1E9" w:rsidR="00EC1AAE" w:rsidRPr="00EC1AAE" w:rsidRDefault="00EC1AAE" w:rsidP="00EC1AAE">
            <w:pPr>
              <w:jc w:val="center"/>
              <w:rPr>
                <w:sz w:val="20"/>
                <w:szCs w:val="20"/>
              </w:rPr>
            </w:pPr>
            <w:r>
              <w:rPr>
                <w:sz w:val="20"/>
                <w:szCs w:val="20"/>
              </w:rPr>
              <w:t>1,477</w:t>
            </w:r>
          </w:p>
        </w:tc>
        <w:tc>
          <w:tcPr>
            <w:tcW w:w="1440" w:type="dxa"/>
            <w:vAlign w:val="center"/>
          </w:tcPr>
          <w:p w14:paraId="6F8B4921" w14:textId="61C4D88A" w:rsidR="00EC1AAE" w:rsidRPr="00EC1AAE" w:rsidRDefault="00EC1AAE" w:rsidP="00EC1AAE">
            <w:pPr>
              <w:jc w:val="center"/>
              <w:rPr>
                <w:sz w:val="20"/>
                <w:szCs w:val="20"/>
              </w:rPr>
            </w:pPr>
            <w:r>
              <w:rPr>
                <w:sz w:val="20"/>
                <w:szCs w:val="20"/>
              </w:rPr>
              <w:t>2,024</w:t>
            </w:r>
          </w:p>
        </w:tc>
        <w:tc>
          <w:tcPr>
            <w:tcW w:w="1170" w:type="dxa"/>
            <w:vAlign w:val="center"/>
          </w:tcPr>
          <w:p w14:paraId="4D816402" w14:textId="583DC869" w:rsidR="00EC1AAE" w:rsidRPr="00EC1AAE" w:rsidRDefault="00EC1AAE" w:rsidP="00EC1AAE">
            <w:pPr>
              <w:jc w:val="center"/>
              <w:rPr>
                <w:sz w:val="20"/>
                <w:szCs w:val="20"/>
              </w:rPr>
            </w:pPr>
            <w:r>
              <w:rPr>
                <w:sz w:val="20"/>
                <w:szCs w:val="20"/>
              </w:rPr>
              <w:t>740</w:t>
            </w:r>
          </w:p>
        </w:tc>
        <w:tc>
          <w:tcPr>
            <w:tcW w:w="1260" w:type="dxa"/>
            <w:vAlign w:val="center"/>
          </w:tcPr>
          <w:p w14:paraId="77E685A7" w14:textId="739D7E04" w:rsidR="00EC1AAE" w:rsidRPr="00EC1AAE" w:rsidRDefault="007027D7" w:rsidP="00EC1AAE">
            <w:pPr>
              <w:jc w:val="center"/>
              <w:rPr>
                <w:sz w:val="20"/>
                <w:szCs w:val="20"/>
              </w:rPr>
            </w:pPr>
            <w:r>
              <w:rPr>
                <w:sz w:val="20"/>
                <w:szCs w:val="20"/>
              </w:rPr>
              <w:t>681</w:t>
            </w:r>
          </w:p>
        </w:tc>
        <w:tc>
          <w:tcPr>
            <w:tcW w:w="1440" w:type="dxa"/>
            <w:vAlign w:val="center"/>
          </w:tcPr>
          <w:p w14:paraId="61A24B35" w14:textId="6C0D512D" w:rsidR="00EC1AAE" w:rsidRPr="00EC1AAE" w:rsidRDefault="00AD2093" w:rsidP="00EC1AAE">
            <w:pPr>
              <w:jc w:val="center"/>
              <w:rPr>
                <w:sz w:val="20"/>
                <w:szCs w:val="20"/>
              </w:rPr>
            </w:pPr>
            <w:r>
              <w:rPr>
                <w:sz w:val="20"/>
                <w:szCs w:val="20"/>
              </w:rPr>
              <w:t>727</w:t>
            </w:r>
          </w:p>
        </w:tc>
        <w:tc>
          <w:tcPr>
            <w:tcW w:w="1440" w:type="dxa"/>
            <w:vAlign w:val="center"/>
          </w:tcPr>
          <w:p w14:paraId="2A2C0DB1" w14:textId="29088475" w:rsidR="00EC1AAE" w:rsidRPr="00EC1AAE" w:rsidRDefault="00AD2093" w:rsidP="00EC1AAE">
            <w:pPr>
              <w:jc w:val="center"/>
              <w:rPr>
                <w:sz w:val="20"/>
                <w:szCs w:val="20"/>
              </w:rPr>
            </w:pPr>
            <w:r>
              <w:rPr>
                <w:sz w:val="20"/>
                <w:szCs w:val="20"/>
              </w:rPr>
              <w:t>244</w:t>
            </w:r>
          </w:p>
        </w:tc>
      </w:tr>
    </w:tbl>
    <w:p w14:paraId="5037FF15" w14:textId="78381BD7" w:rsidR="00EC1AAE" w:rsidRPr="005E615B" w:rsidRDefault="00D86AB1" w:rsidP="00EC1AAE">
      <w:pPr>
        <w:spacing w:after="0" w:line="240" w:lineRule="auto"/>
        <w:jc w:val="both"/>
        <w:rPr>
          <w:iCs/>
          <w:sz w:val="16"/>
          <w:szCs w:val="16"/>
        </w:rPr>
      </w:pPr>
      <w:r w:rsidRPr="005E615B">
        <w:rPr>
          <w:iCs/>
          <w:sz w:val="16"/>
          <w:szCs w:val="16"/>
        </w:rPr>
        <w:t xml:space="preserve">Note: This table presents estimates from models assessing the test scores of laboratory school students versus a matched comparison sample. </w:t>
      </w:r>
      <w:r w:rsidR="00A726ED">
        <w:rPr>
          <w:iCs/>
          <w:sz w:val="16"/>
          <w:szCs w:val="16"/>
        </w:rPr>
        <w:t xml:space="preserve">+, </w:t>
      </w:r>
      <w:r w:rsidR="005E615B" w:rsidRPr="005E615B">
        <w:rPr>
          <w:iCs/>
          <w:sz w:val="16"/>
          <w:szCs w:val="16"/>
        </w:rPr>
        <w:t>*</w:t>
      </w:r>
      <w:r w:rsidR="00A726ED">
        <w:rPr>
          <w:iCs/>
          <w:sz w:val="16"/>
          <w:szCs w:val="16"/>
        </w:rPr>
        <w:t>,</w:t>
      </w:r>
      <w:r w:rsidR="005E615B" w:rsidRPr="005E615B">
        <w:rPr>
          <w:iCs/>
          <w:sz w:val="16"/>
          <w:szCs w:val="16"/>
        </w:rPr>
        <w:t xml:space="preserve"> and ** indicate statistically significant differences between laboratory school and matched comparison sample students at the</w:t>
      </w:r>
      <w:r w:rsidR="00A726ED">
        <w:rPr>
          <w:iCs/>
          <w:sz w:val="16"/>
          <w:szCs w:val="16"/>
        </w:rPr>
        <w:t xml:space="preserve"> 0.10,</w:t>
      </w:r>
      <w:r w:rsidR="005E615B" w:rsidRPr="005E615B">
        <w:rPr>
          <w:iCs/>
          <w:sz w:val="16"/>
          <w:szCs w:val="16"/>
        </w:rPr>
        <w:t xml:space="preserve"> 0.05</w:t>
      </w:r>
      <w:r w:rsidR="00A726ED">
        <w:rPr>
          <w:iCs/>
          <w:sz w:val="16"/>
          <w:szCs w:val="16"/>
        </w:rPr>
        <w:t>,</w:t>
      </w:r>
      <w:r w:rsidR="005E615B" w:rsidRPr="005E615B">
        <w:rPr>
          <w:iCs/>
          <w:sz w:val="16"/>
          <w:szCs w:val="16"/>
        </w:rPr>
        <w:t xml:space="preserve"> and 0.01 levels, respectively. </w:t>
      </w:r>
    </w:p>
    <w:p w14:paraId="726BEF4F" w14:textId="31C89C7E" w:rsidR="00EC1AAE" w:rsidRDefault="00EC1AAE" w:rsidP="00EC1AAE">
      <w:pPr>
        <w:spacing w:after="0" w:line="240" w:lineRule="auto"/>
        <w:jc w:val="both"/>
        <w:rPr>
          <w:i/>
        </w:rPr>
      </w:pPr>
    </w:p>
    <w:p w14:paraId="461717DE" w14:textId="292E918D" w:rsidR="00904DA8" w:rsidRDefault="00904DA8" w:rsidP="00904DA8">
      <w:pPr>
        <w:spacing w:after="0" w:line="240" w:lineRule="auto"/>
        <w:jc w:val="both"/>
        <w:rPr>
          <w:iCs/>
        </w:rPr>
      </w:pPr>
      <w:r>
        <w:rPr>
          <w:iCs/>
        </w:rPr>
        <w:t>Collectively, the results presented in Tables 3-5 and in Figures 1-2 suggest that laboratory schools differed in their impact on student achievement</w:t>
      </w:r>
      <w:r w:rsidR="003D4C84">
        <w:rPr>
          <w:iCs/>
        </w:rPr>
        <w:t xml:space="preserve"> in the 2018-19 academic year</w:t>
      </w:r>
      <w:r>
        <w:rPr>
          <w:iCs/>
        </w:rPr>
        <w:t>. Findings for the A</w:t>
      </w:r>
      <w:r w:rsidR="00CC5C86">
        <w:rPr>
          <w:iCs/>
        </w:rPr>
        <w:t>cademy at Middle Fork (Appalachian State)</w:t>
      </w:r>
      <w:r>
        <w:rPr>
          <w:iCs/>
        </w:rPr>
        <w:t xml:space="preserve"> and the ECU Community School are promising. Students at these schools moved up in the test score distribution and scored as well as or better than the matched comparison sample. These results are especially noteworthy for the Academy</w:t>
      </w:r>
      <w:r w:rsidR="00CC5C86">
        <w:rPr>
          <w:iCs/>
        </w:rPr>
        <w:t xml:space="preserve"> at Middle Fork</w:t>
      </w:r>
      <w:r>
        <w:rPr>
          <w:iCs/>
        </w:rPr>
        <w:t xml:space="preserve">, since 2018-19 was its first year of operation. </w:t>
      </w:r>
      <w:r w:rsidR="003B14C8">
        <w:rPr>
          <w:iCs/>
        </w:rPr>
        <w:t>Findings show that the remaining laboratory schools, particularly the Moss Street Partnership School</w:t>
      </w:r>
      <w:r w:rsidR="00D0548E">
        <w:rPr>
          <w:iCs/>
        </w:rPr>
        <w:t xml:space="preserve"> (UNCG)</w:t>
      </w:r>
      <w:r w:rsidR="003B14C8">
        <w:rPr>
          <w:iCs/>
        </w:rPr>
        <w:t xml:space="preserve">, struggled to promote student achievement growth in 2018-19. </w:t>
      </w:r>
      <w:r w:rsidR="003C1966">
        <w:rPr>
          <w:iCs/>
        </w:rPr>
        <w:t>However, o</w:t>
      </w:r>
      <w:r w:rsidR="002B60F4">
        <w:rPr>
          <w:iCs/>
        </w:rPr>
        <w:t>ne year of operation—for the Moss Street Partnership School and for D.C. Virgo Preparatory Academy—is not a sufficient amount of time to meaningfully assess school performance.</w:t>
      </w:r>
    </w:p>
    <w:p w14:paraId="49E8C255" w14:textId="77777777" w:rsidR="00EC1AAE" w:rsidRDefault="00EC1AAE" w:rsidP="00EC1AAE">
      <w:pPr>
        <w:spacing w:after="0" w:line="240" w:lineRule="auto"/>
        <w:jc w:val="both"/>
        <w:rPr>
          <w:i/>
        </w:rPr>
      </w:pPr>
    </w:p>
    <w:p w14:paraId="1744E58A" w14:textId="77777777" w:rsidR="00D0548E" w:rsidRDefault="00D0548E" w:rsidP="00C64196">
      <w:pPr>
        <w:spacing w:after="0" w:line="240" w:lineRule="auto"/>
        <w:jc w:val="both"/>
        <w:rPr>
          <w:b/>
          <w:i/>
        </w:rPr>
      </w:pPr>
    </w:p>
    <w:p w14:paraId="1726883F" w14:textId="168213F9" w:rsidR="003A23F3" w:rsidRDefault="003A23F3" w:rsidP="00C64196">
      <w:pPr>
        <w:spacing w:after="0" w:line="240" w:lineRule="auto"/>
        <w:jc w:val="both"/>
        <w:rPr>
          <w:b/>
          <w:i/>
        </w:rPr>
      </w:pPr>
      <w:r w:rsidRPr="00C64196">
        <w:rPr>
          <w:b/>
          <w:i/>
        </w:rPr>
        <w:lastRenderedPageBreak/>
        <w:t>Do laboratory schools benefit students’ social-emotional needs and engagement with school?</w:t>
      </w:r>
    </w:p>
    <w:p w14:paraId="30FAB94C" w14:textId="698B810D" w:rsidR="00C64196" w:rsidRDefault="00C64196" w:rsidP="00C64196">
      <w:pPr>
        <w:spacing w:after="0" w:line="240" w:lineRule="auto"/>
        <w:jc w:val="both"/>
        <w:rPr>
          <w:b/>
          <w:i/>
        </w:rPr>
      </w:pPr>
    </w:p>
    <w:p w14:paraId="41BDAED2" w14:textId="6FEF66AB" w:rsidR="000E2D57" w:rsidRDefault="001C144D" w:rsidP="00840AA7">
      <w:pPr>
        <w:spacing w:after="0" w:line="240" w:lineRule="auto"/>
        <w:jc w:val="both"/>
      </w:pPr>
      <w:r>
        <w:t>To assess how laboratory schools influence students’ social-emotional and school engagement outcomes</w:t>
      </w:r>
      <w:r w:rsidR="0088671D">
        <w:t xml:space="preserve">, the Evaluation Team </w:t>
      </w:r>
      <w:r w:rsidR="00840AA7">
        <w:t xml:space="preserve">typically relies on </w:t>
      </w:r>
      <w:r>
        <w:t xml:space="preserve">two sources of data: responses from the Tripod student survey and </w:t>
      </w:r>
      <w:r w:rsidR="001211E1">
        <w:t>administrative data on student attendance.</w:t>
      </w:r>
      <w:r w:rsidR="000E2D57">
        <w:t xml:space="preserve"> Due to COVID-19 and the associated school closures, the Evaluation Team did not administer Tripod student surveys in spring 2020. As such, this report includes analyses of 2018-19 student attendance data but does not include analyses of student perceptions of laboratory schools. </w:t>
      </w:r>
    </w:p>
    <w:p w14:paraId="054E4799" w14:textId="60C6021B" w:rsidR="000E2D57" w:rsidRDefault="000E2D57" w:rsidP="00840AA7">
      <w:pPr>
        <w:spacing w:after="0" w:line="240" w:lineRule="auto"/>
        <w:jc w:val="both"/>
      </w:pPr>
    </w:p>
    <w:p w14:paraId="0B0E12FF" w14:textId="017F6774" w:rsidR="000E2D57" w:rsidRDefault="000E2D57" w:rsidP="000E2D57">
      <w:pPr>
        <w:spacing w:after="0" w:line="240" w:lineRule="auto"/>
        <w:rPr>
          <w:i/>
        </w:rPr>
      </w:pPr>
      <w:r>
        <w:rPr>
          <w:i/>
        </w:rPr>
        <w:t xml:space="preserve">Student </w:t>
      </w:r>
      <w:r w:rsidR="006857FB">
        <w:rPr>
          <w:i/>
        </w:rPr>
        <w:t>a</w:t>
      </w:r>
      <w:r>
        <w:rPr>
          <w:i/>
        </w:rPr>
        <w:t>ttendance at laboratory schools in 2018-19</w:t>
      </w:r>
    </w:p>
    <w:p w14:paraId="0FB0899C" w14:textId="029BEF8E" w:rsidR="00813353" w:rsidRDefault="00813353" w:rsidP="000E2D57">
      <w:pPr>
        <w:spacing w:after="0" w:line="240" w:lineRule="auto"/>
        <w:rPr>
          <w:i/>
        </w:rPr>
      </w:pPr>
    </w:p>
    <w:p w14:paraId="3341DD50" w14:textId="24D77C76" w:rsidR="00813353" w:rsidRDefault="00813353" w:rsidP="00813353">
      <w:pPr>
        <w:spacing w:after="0" w:line="240" w:lineRule="auto"/>
        <w:jc w:val="both"/>
        <w:rPr>
          <w:iCs/>
        </w:rPr>
      </w:pPr>
      <w:r>
        <w:rPr>
          <w:iCs/>
        </w:rPr>
        <w:t>Student attendance is a policy relevant measure of engagement with school that can be meaningfully influenced by teachers and schools. Therefore, the Evaluation Team assessed whether laboratory schools impact attendance. Laboratory schools may encourage attendance if they create supportive and caring environments and build strong relationships with students and families. Conversely, attendance at laboratory schools may be lower given transportation challenges or if laboratory schools are unable to build strong connections between school and home.</w:t>
      </w:r>
    </w:p>
    <w:p w14:paraId="79CE844B" w14:textId="77777777" w:rsidR="00992C0A" w:rsidRDefault="00992C0A" w:rsidP="00813353">
      <w:pPr>
        <w:spacing w:after="0" w:line="240" w:lineRule="auto"/>
        <w:jc w:val="both"/>
        <w:rPr>
          <w:iCs/>
        </w:rPr>
      </w:pPr>
    </w:p>
    <w:p w14:paraId="5DAC96DB" w14:textId="1CC9CF27" w:rsidR="00813353" w:rsidRDefault="00BC5F6B" w:rsidP="00813353">
      <w:pPr>
        <w:spacing w:after="0" w:line="240" w:lineRule="auto"/>
        <w:jc w:val="both"/>
        <w:rPr>
          <w:iCs/>
        </w:rPr>
      </w:pPr>
      <w:r>
        <w:rPr>
          <w:iCs/>
        </w:rPr>
        <w:t>The same factors that warrant caution in student achievement analyses—the unique nature of laboratory school students—also present challenges for attendance analyses. In response, the Evaluation Team provides descriptive data regarding student attendance at the five laboratory schools in operation in 2018-19. In more rigorous analyses, the Evaluation Team assesses whether attendance differs for laboratory school students versus a matched comparison sample.</w:t>
      </w:r>
      <w:r w:rsidR="00B87226">
        <w:rPr>
          <w:rStyle w:val="FootnoteReference"/>
        </w:rPr>
        <w:footnoteReference w:id="51"/>
      </w:r>
    </w:p>
    <w:p w14:paraId="051CDBA5" w14:textId="22D7AB34" w:rsidR="00490F0F" w:rsidRDefault="00490F0F" w:rsidP="00813353">
      <w:pPr>
        <w:spacing w:after="0" w:line="240" w:lineRule="auto"/>
        <w:jc w:val="both"/>
        <w:rPr>
          <w:iCs/>
        </w:rPr>
      </w:pPr>
    </w:p>
    <w:p w14:paraId="2C2DCA6B" w14:textId="03143724" w:rsidR="00E50B81" w:rsidRDefault="00490F0F" w:rsidP="00813353">
      <w:pPr>
        <w:spacing w:after="0" w:line="240" w:lineRule="auto"/>
        <w:jc w:val="both"/>
        <w:rPr>
          <w:iCs/>
        </w:rPr>
      </w:pPr>
      <w:r>
        <w:rPr>
          <w:iCs/>
        </w:rPr>
        <w:t>Table 6 displays student attendance rates for the 2018-19 school year—that is, the percentage of days present at a school divided by the days enrolled. The top panel of Table 6 displays attendance rates for any student enrolled at a laboratory school in 2018-19, including students who exited the school before the completion of the year.</w:t>
      </w:r>
      <w:r>
        <w:rPr>
          <w:rStyle w:val="FootnoteReference"/>
        </w:rPr>
        <w:footnoteReference w:id="52"/>
      </w:r>
      <w:r w:rsidR="00A877B6">
        <w:rPr>
          <w:iCs/>
        </w:rPr>
        <w:t xml:space="preserve"> The second panel of Table 6 presents comparable data for students enrolled at a laboratory school for the entire year. Overall, the attendance rate for laboratory schools was 95.23—ranging from 93.92 at The Catamount School</w:t>
      </w:r>
      <w:r w:rsidR="00B245E0">
        <w:rPr>
          <w:iCs/>
        </w:rPr>
        <w:t xml:space="preserve"> (WCU)</w:t>
      </w:r>
      <w:r w:rsidR="00A877B6">
        <w:rPr>
          <w:iCs/>
        </w:rPr>
        <w:t xml:space="preserve"> to 95.83 at Moss Street Partnership School</w:t>
      </w:r>
      <w:r w:rsidR="00B245E0">
        <w:rPr>
          <w:iCs/>
        </w:rPr>
        <w:t xml:space="preserve"> (UNCG)</w:t>
      </w:r>
      <w:r w:rsidR="00A877B6">
        <w:rPr>
          <w:iCs/>
        </w:rPr>
        <w:t xml:space="preserve">. </w:t>
      </w:r>
      <w:r w:rsidR="00B214F2">
        <w:rPr>
          <w:iCs/>
        </w:rPr>
        <w:t>Of note, the attendance rate for the ECU Community School improved from 91.97 in 2017-18 to 95.03 in 2018-19. Data in the second panel show that attendance rates are slightly higher for students enrolled at laboratory schools for the entire year.</w:t>
      </w:r>
      <w:r w:rsidR="00527C61">
        <w:rPr>
          <w:iCs/>
        </w:rPr>
        <w:t xml:space="preserve"> </w:t>
      </w:r>
    </w:p>
    <w:p w14:paraId="6EEF3253" w14:textId="77777777" w:rsidR="00E50B81" w:rsidRDefault="00E50B81" w:rsidP="00813353">
      <w:pPr>
        <w:spacing w:after="0" w:line="240" w:lineRule="auto"/>
        <w:jc w:val="both"/>
        <w:rPr>
          <w:iCs/>
        </w:rPr>
      </w:pPr>
    </w:p>
    <w:p w14:paraId="37F492C5" w14:textId="72613B40" w:rsidR="006D0862" w:rsidRDefault="00527C61" w:rsidP="00813353">
      <w:pPr>
        <w:spacing w:after="0" w:line="240" w:lineRule="auto"/>
        <w:jc w:val="both"/>
        <w:rPr>
          <w:iCs/>
        </w:rPr>
      </w:pPr>
      <w:r>
        <w:rPr>
          <w:iCs/>
        </w:rPr>
        <w:t>The bottom panels of Table 6 present attendance rates for same</w:t>
      </w:r>
      <w:r w:rsidR="00E50B81">
        <w:rPr>
          <w:iCs/>
        </w:rPr>
        <w:t>-</w:t>
      </w:r>
      <w:r>
        <w:rPr>
          <w:iCs/>
        </w:rPr>
        <w:t xml:space="preserve">grade students in the school districts hosting laboratory schools (or </w:t>
      </w:r>
      <w:r w:rsidR="00437394">
        <w:rPr>
          <w:iCs/>
        </w:rPr>
        <w:t xml:space="preserve">the </w:t>
      </w:r>
      <w:r>
        <w:rPr>
          <w:iCs/>
        </w:rPr>
        <w:t xml:space="preserve">host school for South Greenville Elementary). As above, the Evaluation Team provides these data for any student enrolled in the host district and for students enrolled in the host district for the entire year. </w:t>
      </w:r>
      <w:r w:rsidR="006D0862">
        <w:rPr>
          <w:iCs/>
        </w:rPr>
        <w:t>Attendance rates</w:t>
      </w:r>
      <w:r w:rsidR="00FD0BD8">
        <w:rPr>
          <w:iCs/>
        </w:rPr>
        <w:t xml:space="preserve"> for</w:t>
      </w:r>
      <w:r w:rsidR="006D0862">
        <w:rPr>
          <w:iCs/>
        </w:rPr>
        <w:t xml:space="preserve"> the A</w:t>
      </w:r>
      <w:r w:rsidR="00B245E0">
        <w:rPr>
          <w:iCs/>
        </w:rPr>
        <w:t>cademy at Middle Fork (Appalachian State)</w:t>
      </w:r>
      <w:r w:rsidR="006D0862">
        <w:rPr>
          <w:iCs/>
        </w:rPr>
        <w:t xml:space="preserve">, </w:t>
      </w:r>
      <w:r w:rsidR="00B245E0">
        <w:rPr>
          <w:iCs/>
        </w:rPr>
        <w:t xml:space="preserve">the </w:t>
      </w:r>
      <w:r w:rsidR="006D0862">
        <w:rPr>
          <w:iCs/>
        </w:rPr>
        <w:t>ECU Community School, and The Catamount School</w:t>
      </w:r>
      <w:r w:rsidR="00D0548E">
        <w:rPr>
          <w:iCs/>
        </w:rPr>
        <w:t xml:space="preserve"> (WCU)</w:t>
      </w:r>
      <w:r w:rsidR="006D0862">
        <w:rPr>
          <w:iCs/>
        </w:rPr>
        <w:t xml:space="preserve"> are comparable to those in the host district; </w:t>
      </w:r>
      <w:r w:rsidR="00FD0BD8">
        <w:rPr>
          <w:iCs/>
        </w:rPr>
        <w:t>a</w:t>
      </w:r>
      <w:r w:rsidR="006D0862">
        <w:rPr>
          <w:iCs/>
        </w:rPr>
        <w:t xml:space="preserve">ttendance rates are higher </w:t>
      </w:r>
      <w:r w:rsidR="00FD0BD8">
        <w:rPr>
          <w:iCs/>
        </w:rPr>
        <w:t>for</w:t>
      </w:r>
      <w:r w:rsidR="006D0862">
        <w:rPr>
          <w:iCs/>
        </w:rPr>
        <w:t xml:space="preserve"> the Moss Street Partnership School</w:t>
      </w:r>
      <w:r w:rsidR="00D0548E">
        <w:rPr>
          <w:iCs/>
        </w:rPr>
        <w:t xml:space="preserve"> (UNCG)</w:t>
      </w:r>
      <w:r w:rsidR="006D0862">
        <w:rPr>
          <w:iCs/>
        </w:rPr>
        <w:t xml:space="preserve"> and </w:t>
      </w:r>
      <w:r w:rsidR="00FD0BD8">
        <w:rPr>
          <w:iCs/>
        </w:rPr>
        <w:t xml:space="preserve">for </w:t>
      </w:r>
      <w:r w:rsidR="006D0862">
        <w:rPr>
          <w:iCs/>
        </w:rPr>
        <w:t>D.C. Virgo Preparatory Academy</w:t>
      </w:r>
      <w:r w:rsidR="00D0548E">
        <w:rPr>
          <w:iCs/>
        </w:rPr>
        <w:t xml:space="preserve"> (UNCW)</w:t>
      </w:r>
      <w:r w:rsidR="006D0862">
        <w:rPr>
          <w:iCs/>
        </w:rPr>
        <w:t>.</w:t>
      </w:r>
    </w:p>
    <w:p w14:paraId="2C8EB8F1" w14:textId="77777777" w:rsidR="006D0862" w:rsidRDefault="006D0862" w:rsidP="00813353">
      <w:pPr>
        <w:spacing w:after="0" w:line="240" w:lineRule="auto"/>
        <w:jc w:val="both"/>
        <w:rPr>
          <w:iCs/>
        </w:rPr>
      </w:pPr>
    </w:p>
    <w:p w14:paraId="6263FB63" w14:textId="77777777" w:rsidR="00B245E0" w:rsidRDefault="00B245E0" w:rsidP="00490F0F">
      <w:pPr>
        <w:spacing w:after="0" w:line="240" w:lineRule="auto"/>
        <w:jc w:val="both"/>
        <w:rPr>
          <w:i/>
        </w:rPr>
      </w:pPr>
    </w:p>
    <w:p w14:paraId="62F67125" w14:textId="77777777" w:rsidR="00D0548E" w:rsidRDefault="00D0548E" w:rsidP="00490F0F">
      <w:pPr>
        <w:spacing w:after="0" w:line="240" w:lineRule="auto"/>
        <w:jc w:val="both"/>
        <w:rPr>
          <w:i/>
        </w:rPr>
      </w:pPr>
    </w:p>
    <w:p w14:paraId="071775BE" w14:textId="7A928B49" w:rsidR="00490F0F" w:rsidRDefault="00490F0F" w:rsidP="00490F0F">
      <w:pPr>
        <w:spacing w:after="0" w:line="240" w:lineRule="auto"/>
        <w:jc w:val="both"/>
        <w:rPr>
          <w:i/>
        </w:rPr>
      </w:pPr>
      <w:r>
        <w:rPr>
          <w:i/>
        </w:rPr>
        <w:lastRenderedPageBreak/>
        <w:t>Table 6:  Attendance Rates at Laboratory Schools and Other District Schools (2018-19)</w:t>
      </w:r>
    </w:p>
    <w:tbl>
      <w:tblPr>
        <w:tblStyle w:val="TableGrid"/>
        <w:tblW w:w="941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80"/>
        <w:gridCol w:w="1620"/>
        <w:gridCol w:w="4018"/>
      </w:tblGrid>
      <w:tr w:rsidR="00490F0F" w14:paraId="0BC0A66C" w14:textId="77777777" w:rsidTr="007F79CB">
        <w:trPr>
          <w:trHeight w:val="270"/>
        </w:trPr>
        <w:tc>
          <w:tcPr>
            <w:tcW w:w="3780" w:type="dxa"/>
            <w:shd w:val="clear" w:color="auto" w:fill="F2F2F2" w:themeFill="background1" w:themeFillShade="F2"/>
            <w:vAlign w:val="center"/>
          </w:tcPr>
          <w:p w14:paraId="2A0CB61E" w14:textId="77777777" w:rsidR="00490F0F" w:rsidRPr="00C03687" w:rsidRDefault="00490F0F" w:rsidP="007F79CB">
            <w:pPr>
              <w:jc w:val="center"/>
            </w:pPr>
            <w:r>
              <w:t>Student Groups</w:t>
            </w:r>
          </w:p>
        </w:tc>
        <w:tc>
          <w:tcPr>
            <w:tcW w:w="1620" w:type="dxa"/>
            <w:shd w:val="clear" w:color="auto" w:fill="F2F2F2" w:themeFill="background1" w:themeFillShade="F2"/>
          </w:tcPr>
          <w:p w14:paraId="44B36A4D" w14:textId="77777777" w:rsidR="00490F0F" w:rsidRDefault="00490F0F" w:rsidP="007F79CB">
            <w:pPr>
              <w:jc w:val="center"/>
            </w:pPr>
            <w:r>
              <w:t>Student Count</w:t>
            </w:r>
          </w:p>
        </w:tc>
        <w:tc>
          <w:tcPr>
            <w:tcW w:w="4018" w:type="dxa"/>
            <w:shd w:val="clear" w:color="auto" w:fill="F2F2F2" w:themeFill="background1" w:themeFillShade="F2"/>
            <w:vAlign w:val="center"/>
          </w:tcPr>
          <w:p w14:paraId="3201D7CD" w14:textId="77777777" w:rsidR="00490F0F" w:rsidRPr="00C03687" w:rsidRDefault="00490F0F" w:rsidP="007F79CB">
            <w:pPr>
              <w:jc w:val="center"/>
            </w:pPr>
            <w:r>
              <w:t>Attendance Rates</w:t>
            </w:r>
          </w:p>
        </w:tc>
      </w:tr>
      <w:tr w:rsidR="00490F0F" w14:paraId="0D72A2C0" w14:textId="77777777" w:rsidTr="007F79CB">
        <w:trPr>
          <w:trHeight w:val="255"/>
        </w:trPr>
        <w:tc>
          <w:tcPr>
            <w:tcW w:w="9418" w:type="dxa"/>
            <w:gridSpan w:val="3"/>
          </w:tcPr>
          <w:p w14:paraId="78BD33A1" w14:textId="77777777" w:rsidR="00490F0F" w:rsidRDefault="00490F0F" w:rsidP="007F79CB">
            <w:pPr>
              <w:jc w:val="center"/>
              <w:rPr>
                <w:i/>
              </w:rPr>
            </w:pPr>
            <w:r>
              <w:rPr>
                <w:i/>
              </w:rPr>
              <w:t>All Enrolled Laboratory School Students</w:t>
            </w:r>
          </w:p>
        </w:tc>
      </w:tr>
      <w:tr w:rsidR="00490F0F" w14:paraId="70DC4E0D" w14:textId="77777777" w:rsidTr="007F79CB">
        <w:trPr>
          <w:trHeight w:val="270"/>
        </w:trPr>
        <w:tc>
          <w:tcPr>
            <w:tcW w:w="3780" w:type="dxa"/>
            <w:vAlign w:val="center"/>
          </w:tcPr>
          <w:p w14:paraId="01DA4B96" w14:textId="77777777" w:rsidR="00490F0F" w:rsidRPr="00C03687" w:rsidRDefault="00490F0F" w:rsidP="007F79CB">
            <w:pPr>
              <w:jc w:val="right"/>
            </w:pPr>
            <w:r>
              <w:t>Laboratory Schools 2018-19</w:t>
            </w:r>
          </w:p>
        </w:tc>
        <w:tc>
          <w:tcPr>
            <w:tcW w:w="1620" w:type="dxa"/>
            <w:vAlign w:val="center"/>
          </w:tcPr>
          <w:p w14:paraId="2E9276EF" w14:textId="77777777" w:rsidR="00490F0F" w:rsidRDefault="00490F0F" w:rsidP="007F79CB">
            <w:pPr>
              <w:jc w:val="center"/>
            </w:pPr>
            <w:r>
              <w:t>1,074</w:t>
            </w:r>
          </w:p>
        </w:tc>
        <w:tc>
          <w:tcPr>
            <w:tcW w:w="4018" w:type="dxa"/>
            <w:vAlign w:val="center"/>
          </w:tcPr>
          <w:p w14:paraId="43E98691" w14:textId="77777777" w:rsidR="00490F0F" w:rsidRPr="00C03687" w:rsidRDefault="00490F0F" w:rsidP="007F79CB">
            <w:pPr>
              <w:jc w:val="center"/>
            </w:pPr>
            <w:r>
              <w:t>95.23</w:t>
            </w:r>
          </w:p>
        </w:tc>
      </w:tr>
      <w:tr w:rsidR="00490F0F" w14:paraId="522B474A" w14:textId="77777777" w:rsidTr="007F79CB">
        <w:trPr>
          <w:trHeight w:val="255"/>
        </w:trPr>
        <w:tc>
          <w:tcPr>
            <w:tcW w:w="3780" w:type="dxa"/>
            <w:vAlign w:val="center"/>
          </w:tcPr>
          <w:p w14:paraId="4EAB3FB5" w14:textId="38BD75AC" w:rsidR="00490F0F" w:rsidRPr="00C03687" w:rsidRDefault="00B245E0" w:rsidP="007F79CB">
            <w:pPr>
              <w:jc w:val="right"/>
            </w:pPr>
            <w:r>
              <w:t>Academy at Middle Fork</w:t>
            </w:r>
          </w:p>
        </w:tc>
        <w:tc>
          <w:tcPr>
            <w:tcW w:w="1620" w:type="dxa"/>
            <w:vAlign w:val="center"/>
          </w:tcPr>
          <w:p w14:paraId="1AB7EDAE" w14:textId="77777777" w:rsidR="00490F0F" w:rsidRDefault="00490F0F" w:rsidP="007F79CB">
            <w:pPr>
              <w:jc w:val="center"/>
            </w:pPr>
            <w:r>
              <w:t>284</w:t>
            </w:r>
          </w:p>
        </w:tc>
        <w:tc>
          <w:tcPr>
            <w:tcW w:w="4018" w:type="dxa"/>
            <w:vAlign w:val="center"/>
          </w:tcPr>
          <w:p w14:paraId="1D25E768" w14:textId="77777777" w:rsidR="00490F0F" w:rsidRPr="00C03687" w:rsidRDefault="00490F0F" w:rsidP="007F79CB">
            <w:pPr>
              <w:jc w:val="center"/>
            </w:pPr>
            <w:r>
              <w:t>94.32</w:t>
            </w:r>
          </w:p>
        </w:tc>
      </w:tr>
      <w:tr w:rsidR="00490F0F" w14:paraId="04763676" w14:textId="77777777" w:rsidTr="007F79CB">
        <w:trPr>
          <w:trHeight w:val="255"/>
        </w:trPr>
        <w:tc>
          <w:tcPr>
            <w:tcW w:w="3780" w:type="dxa"/>
            <w:vAlign w:val="center"/>
          </w:tcPr>
          <w:p w14:paraId="615AB8CC" w14:textId="77777777" w:rsidR="00490F0F" w:rsidRPr="00C03687" w:rsidRDefault="00490F0F" w:rsidP="007F79CB">
            <w:pPr>
              <w:jc w:val="right"/>
            </w:pPr>
            <w:r>
              <w:t>ECU Community School</w:t>
            </w:r>
          </w:p>
        </w:tc>
        <w:tc>
          <w:tcPr>
            <w:tcW w:w="1620" w:type="dxa"/>
            <w:vAlign w:val="center"/>
          </w:tcPr>
          <w:p w14:paraId="70705EEC" w14:textId="77777777" w:rsidR="00490F0F" w:rsidRDefault="00490F0F" w:rsidP="007F79CB">
            <w:pPr>
              <w:jc w:val="center"/>
            </w:pPr>
            <w:r>
              <w:t>87</w:t>
            </w:r>
          </w:p>
        </w:tc>
        <w:tc>
          <w:tcPr>
            <w:tcW w:w="4018" w:type="dxa"/>
            <w:vAlign w:val="center"/>
          </w:tcPr>
          <w:p w14:paraId="21F66465" w14:textId="77777777" w:rsidR="00490F0F" w:rsidRPr="00C03687" w:rsidRDefault="00490F0F" w:rsidP="007F79CB">
            <w:pPr>
              <w:jc w:val="center"/>
            </w:pPr>
            <w:r>
              <w:t>95.03</w:t>
            </w:r>
          </w:p>
        </w:tc>
      </w:tr>
      <w:tr w:rsidR="00490F0F" w14:paraId="71AE0151" w14:textId="77777777" w:rsidTr="007F79CB">
        <w:trPr>
          <w:trHeight w:val="255"/>
        </w:trPr>
        <w:tc>
          <w:tcPr>
            <w:tcW w:w="3780" w:type="dxa"/>
            <w:vAlign w:val="center"/>
          </w:tcPr>
          <w:p w14:paraId="4613F015" w14:textId="77777777" w:rsidR="00490F0F" w:rsidRPr="00C03687" w:rsidRDefault="00490F0F" w:rsidP="007F79CB">
            <w:pPr>
              <w:jc w:val="right"/>
            </w:pPr>
            <w:r>
              <w:t>Moss Street Partnership School</w:t>
            </w:r>
          </w:p>
        </w:tc>
        <w:tc>
          <w:tcPr>
            <w:tcW w:w="1620" w:type="dxa"/>
            <w:vAlign w:val="center"/>
          </w:tcPr>
          <w:p w14:paraId="05EE3DB5" w14:textId="77777777" w:rsidR="00490F0F" w:rsidRDefault="00490F0F" w:rsidP="007F79CB">
            <w:pPr>
              <w:jc w:val="center"/>
            </w:pPr>
            <w:r>
              <w:t>405</w:t>
            </w:r>
          </w:p>
        </w:tc>
        <w:tc>
          <w:tcPr>
            <w:tcW w:w="4018" w:type="dxa"/>
            <w:vAlign w:val="center"/>
          </w:tcPr>
          <w:p w14:paraId="1FC207B2" w14:textId="77777777" w:rsidR="00490F0F" w:rsidRPr="00C03687" w:rsidRDefault="00490F0F" w:rsidP="007F79CB">
            <w:pPr>
              <w:jc w:val="center"/>
            </w:pPr>
            <w:r>
              <w:t>95.83</w:t>
            </w:r>
          </w:p>
        </w:tc>
      </w:tr>
      <w:tr w:rsidR="00490F0F" w14:paraId="45F29C18" w14:textId="77777777" w:rsidTr="007F79CB">
        <w:trPr>
          <w:trHeight w:val="255"/>
        </w:trPr>
        <w:tc>
          <w:tcPr>
            <w:tcW w:w="3780" w:type="dxa"/>
            <w:vAlign w:val="center"/>
          </w:tcPr>
          <w:p w14:paraId="3B756F78" w14:textId="77777777" w:rsidR="00490F0F" w:rsidRPr="00C03687" w:rsidRDefault="00490F0F" w:rsidP="007F79CB">
            <w:pPr>
              <w:jc w:val="right"/>
            </w:pPr>
            <w:r>
              <w:t>D.C. Virgo Preparatory Academy</w:t>
            </w:r>
          </w:p>
        </w:tc>
        <w:tc>
          <w:tcPr>
            <w:tcW w:w="1620" w:type="dxa"/>
            <w:vAlign w:val="center"/>
          </w:tcPr>
          <w:p w14:paraId="23422FED" w14:textId="77777777" w:rsidR="00490F0F" w:rsidRDefault="00490F0F" w:rsidP="007F79CB">
            <w:pPr>
              <w:jc w:val="center"/>
            </w:pPr>
            <w:r>
              <w:t>242</w:t>
            </w:r>
          </w:p>
        </w:tc>
        <w:tc>
          <w:tcPr>
            <w:tcW w:w="4018" w:type="dxa"/>
            <w:vAlign w:val="center"/>
          </w:tcPr>
          <w:p w14:paraId="3D356F10" w14:textId="77777777" w:rsidR="00490F0F" w:rsidRPr="00C03687" w:rsidRDefault="00490F0F" w:rsidP="007F79CB">
            <w:pPr>
              <w:jc w:val="center"/>
            </w:pPr>
            <w:r>
              <w:t>95.67</w:t>
            </w:r>
          </w:p>
        </w:tc>
      </w:tr>
      <w:tr w:rsidR="00490F0F" w14:paraId="67E93A87" w14:textId="77777777" w:rsidTr="007F79CB">
        <w:trPr>
          <w:trHeight w:val="270"/>
        </w:trPr>
        <w:tc>
          <w:tcPr>
            <w:tcW w:w="3780" w:type="dxa"/>
            <w:vAlign w:val="center"/>
          </w:tcPr>
          <w:p w14:paraId="075B120C" w14:textId="77777777" w:rsidR="00490F0F" w:rsidRPr="00C03687" w:rsidRDefault="00490F0F" w:rsidP="007F79CB">
            <w:pPr>
              <w:jc w:val="right"/>
            </w:pPr>
            <w:r>
              <w:t>The Catamount School</w:t>
            </w:r>
          </w:p>
        </w:tc>
        <w:tc>
          <w:tcPr>
            <w:tcW w:w="1620" w:type="dxa"/>
            <w:vAlign w:val="center"/>
          </w:tcPr>
          <w:p w14:paraId="4BD01B38" w14:textId="77777777" w:rsidR="00490F0F" w:rsidRDefault="00490F0F" w:rsidP="007F79CB">
            <w:pPr>
              <w:jc w:val="center"/>
            </w:pPr>
            <w:r>
              <w:t>56</w:t>
            </w:r>
          </w:p>
        </w:tc>
        <w:tc>
          <w:tcPr>
            <w:tcW w:w="4018" w:type="dxa"/>
            <w:vAlign w:val="center"/>
          </w:tcPr>
          <w:p w14:paraId="09B10A6A" w14:textId="77777777" w:rsidR="00490F0F" w:rsidRPr="00C03687" w:rsidRDefault="00490F0F" w:rsidP="007F79CB">
            <w:pPr>
              <w:jc w:val="center"/>
            </w:pPr>
            <w:r>
              <w:t>93.92</w:t>
            </w:r>
          </w:p>
        </w:tc>
      </w:tr>
      <w:tr w:rsidR="00490F0F" w14:paraId="70A49E03" w14:textId="77777777" w:rsidTr="007F79CB">
        <w:trPr>
          <w:trHeight w:val="255"/>
        </w:trPr>
        <w:tc>
          <w:tcPr>
            <w:tcW w:w="9418" w:type="dxa"/>
            <w:gridSpan w:val="3"/>
          </w:tcPr>
          <w:p w14:paraId="79774BD2" w14:textId="77777777" w:rsidR="00490F0F" w:rsidRPr="00C03687" w:rsidRDefault="00490F0F" w:rsidP="007F79CB">
            <w:pPr>
              <w:jc w:val="center"/>
              <w:rPr>
                <w:i/>
              </w:rPr>
            </w:pPr>
            <w:r>
              <w:rPr>
                <w:i/>
              </w:rPr>
              <w:t>Laboratory School Students Enrolled for the Entire Year</w:t>
            </w:r>
          </w:p>
        </w:tc>
      </w:tr>
      <w:tr w:rsidR="00490F0F" w14:paraId="7F595F11" w14:textId="77777777" w:rsidTr="007F79CB">
        <w:trPr>
          <w:trHeight w:val="270"/>
        </w:trPr>
        <w:tc>
          <w:tcPr>
            <w:tcW w:w="3780" w:type="dxa"/>
            <w:vAlign w:val="center"/>
          </w:tcPr>
          <w:p w14:paraId="764EDA7D" w14:textId="089CAC7A" w:rsidR="00490F0F" w:rsidRPr="00C03687" w:rsidRDefault="005432F0" w:rsidP="007F79CB">
            <w:pPr>
              <w:jc w:val="right"/>
            </w:pPr>
            <w:r>
              <w:t xml:space="preserve"> </w:t>
            </w:r>
            <w:r w:rsidR="00FB500F">
              <w:t>L</w:t>
            </w:r>
            <w:r w:rsidR="00490F0F">
              <w:t>aboratory Schools 2018-19</w:t>
            </w:r>
          </w:p>
        </w:tc>
        <w:tc>
          <w:tcPr>
            <w:tcW w:w="1620" w:type="dxa"/>
            <w:vAlign w:val="center"/>
          </w:tcPr>
          <w:p w14:paraId="4A20E1EC" w14:textId="77777777" w:rsidR="00490F0F" w:rsidRDefault="00490F0F" w:rsidP="007F79CB">
            <w:pPr>
              <w:jc w:val="center"/>
            </w:pPr>
            <w:r>
              <w:t>972</w:t>
            </w:r>
          </w:p>
        </w:tc>
        <w:tc>
          <w:tcPr>
            <w:tcW w:w="4018" w:type="dxa"/>
            <w:vAlign w:val="center"/>
          </w:tcPr>
          <w:p w14:paraId="6A8805F4" w14:textId="77777777" w:rsidR="00490F0F" w:rsidRPr="00C03687" w:rsidRDefault="00490F0F" w:rsidP="007F79CB">
            <w:pPr>
              <w:jc w:val="center"/>
            </w:pPr>
            <w:r>
              <w:t>95.50</w:t>
            </w:r>
          </w:p>
        </w:tc>
      </w:tr>
      <w:tr w:rsidR="00490F0F" w14:paraId="6EB26147" w14:textId="77777777" w:rsidTr="007F79CB">
        <w:trPr>
          <w:trHeight w:val="270"/>
        </w:trPr>
        <w:tc>
          <w:tcPr>
            <w:tcW w:w="3780" w:type="dxa"/>
            <w:vAlign w:val="center"/>
          </w:tcPr>
          <w:p w14:paraId="22A111EE" w14:textId="363A8C07" w:rsidR="00490F0F" w:rsidRPr="00C03687" w:rsidRDefault="00B245E0" w:rsidP="007F79CB">
            <w:pPr>
              <w:jc w:val="right"/>
            </w:pPr>
            <w:r>
              <w:t>Academy at Middle Fork</w:t>
            </w:r>
          </w:p>
        </w:tc>
        <w:tc>
          <w:tcPr>
            <w:tcW w:w="1620" w:type="dxa"/>
            <w:vAlign w:val="center"/>
          </w:tcPr>
          <w:p w14:paraId="18398997" w14:textId="77777777" w:rsidR="00490F0F" w:rsidRDefault="00490F0F" w:rsidP="007F79CB">
            <w:pPr>
              <w:jc w:val="center"/>
            </w:pPr>
            <w:r>
              <w:t>272</w:t>
            </w:r>
          </w:p>
        </w:tc>
        <w:tc>
          <w:tcPr>
            <w:tcW w:w="4018" w:type="dxa"/>
            <w:vAlign w:val="center"/>
          </w:tcPr>
          <w:p w14:paraId="72602D2F" w14:textId="77777777" w:rsidR="00490F0F" w:rsidRPr="00C03687" w:rsidRDefault="00490F0F" w:rsidP="007F79CB">
            <w:pPr>
              <w:jc w:val="center"/>
            </w:pPr>
            <w:r>
              <w:t>94.60</w:t>
            </w:r>
          </w:p>
        </w:tc>
      </w:tr>
      <w:tr w:rsidR="00490F0F" w14:paraId="0321D126" w14:textId="77777777" w:rsidTr="007F79CB">
        <w:trPr>
          <w:trHeight w:val="270"/>
        </w:trPr>
        <w:tc>
          <w:tcPr>
            <w:tcW w:w="3780" w:type="dxa"/>
            <w:vAlign w:val="center"/>
          </w:tcPr>
          <w:p w14:paraId="4C4ACEB6" w14:textId="77777777" w:rsidR="00490F0F" w:rsidRPr="00C03687" w:rsidRDefault="00490F0F" w:rsidP="007F79CB">
            <w:pPr>
              <w:jc w:val="right"/>
            </w:pPr>
            <w:r>
              <w:t>ECU Community School</w:t>
            </w:r>
          </w:p>
        </w:tc>
        <w:tc>
          <w:tcPr>
            <w:tcW w:w="1620" w:type="dxa"/>
            <w:vAlign w:val="center"/>
          </w:tcPr>
          <w:p w14:paraId="6CE907F0" w14:textId="77777777" w:rsidR="00490F0F" w:rsidRDefault="00490F0F" w:rsidP="007F79CB">
            <w:pPr>
              <w:jc w:val="center"/>
            </w:pPr>
            <w:r>
              <w:t>84</w:t>
            </w:r>
          </w:p>
        </w:tc>
        <w:tc>
          <w:tcPr>
            <w:tcW w:w="4018" w:type="dxa"/>
            <w:vAlign w:val="center"/>
          </w:tcPr>
          <w:p w14:paraId="42E26AA3" w14:textId="77777777" w:rsidR="00490F0F" w:rsidRPr="00C03687" w:rsidRDefault="00490F0F" w:rsidP="007F79CB">
            <w:pPr>
              <w:jc w:val="center"/>
            </w:pPr>
            <w:r>
              <w:t>95.59</w:t>
            </w:r>
          </w:p>
        </w:tc>
      </w:tr>
      <w:tr w:rsidR="00490F0F" w14:paraId="0EDB6948" w14:textId="77777777" w:rsidTr="007F79CB">
        <w:trPr>
          <w:trHeight w:val="270"/>
        </w:trPr>
        <w:tc>
          <w:tcPr>
            <w:tcW w:w="3780" w:type="dxa"/>
            <w:vAlign w:val="center"/>
          </w:tcPr>
          <w:p w14:paraId="436161CA" w14:textId="77777777" w:rsidR="00490F0F" w:rsidRPr="00C03687" w:rsidRDefault="00490F0F" w:rsidP="007F79CB">
            <w:pPr>
              <w:jc w:val="right"/>
            </w:pPr>
            <w:r>
              <w:t>Moss Street Partnership School</w:t>
            </w:r>
          </w:p>
        </w:tc>
        <w:tc>
          <w:tcPr>
            <w:tcW w:w="1620" w:type="dxa"/>
            <w:vAlign w:val="center"/>
          </w:tcPr>
          <w:p w14:paraId="09F16B10" w14:textId="77777777" w:rsidR="00490F0F" w:rsidRDefault="00490F0F" w:rsidP="007F79CB">
            <w:pPr>
              <w:jc w:val="center"/>
            </w:pPr>
            <w:r>
              <w:t>351</w:t>
            </w:r>
          </w:p>
        </w:tc>
        <w:tc>
          <w:tcPr>
            <w:tcW w:w="4018" w:type="dxa"/>
            <w:vAlign w:val="center"/>
          </w:tcPr>
          <w:p w14:paraId="0DA505C7" w14:textId="77777777" w:rsidR="00490F0F" w:rsidRPr="00C03687" w:rsidRDefault="00490F0F" w:rsidP="007F79CB">
            <w:pPr>
              <w:jc w:val="center"/>
            </w:pPr>
            <w:r>
              <w:t>96.15</w:t>
            </w:r>
          </w:p>
        </w:tc>
      </w:tr>
      <w:tr w:rsidR="00490F0F" w14:paraId="199F34C0" w14:textId="77777777" w:rsidTr="007F79CB">
        <w:trPr>
          <w:trHeight w:val="270"/>
        </w:trPr>
        <w:tc>
          <w:tcPr>
            <w:tcW w:w="3780" w:type="dxa"/>
            <w:vAlign w:val="center"/>
          </w:tcPr>
          <w:p w14:paraId="1262954C" w14:textId="77777777" w:rsidR="00490F0F" w:rsidRPr="00C03687" w:rsidRDefault="00490F0F" w:rsidP="007F79CB">
            <w:pPr>
              <w:jc w:val="right"/>
            </w:pPr>
            <w:r>
              <w:t>D.C. Virgo Preparatory Academy</w:t>
            </w:r>
          </w:p>
        </w:tc>
        <w:tc>
          <w:tcPr>
            <w:tcW w:w="1620" w:type="dxa"/>
            <w:vAlign w:val="center"/>
          </w:tcPr>
          <w:p w14:paraId="6B06498B" w14:textId="77777777" w:rsidR="00490F0F" w:rsidRDefault="00490F0F" w:rsidP="007F79CB">
            <w:pPr>
              <w:jc w:val="center"/>
            </w:pPr>
            <w:r>
              <w:t>210</w:t>
            </w:r>
          </w:p>
        </w:tc>
        <w:tc>
          <w:tcPr>
            <w:tcW w:w="4018" w:type="dxa"/>
            <w:vAlign w:val="center"/>
          </w:tcPr>
          <w:p w14:paraId="6B403787" w14:textId="77777777" w:rsidR="00490F0F" w:rsidRPr="00C03687" w:rsidRDefault="00490F0F" w:rsidP="007F79CB">
            <w:pPr>
              <w:jc w:val="center"/>
            </w:pPr>
            <w:r>
              <w:t>95.89</w:t>
            </w:r>
          </w:p>
        </w:tc>
      </w:tr>
      <w:tr w:rsidR="00490F0F" w14:paraId="683E6DF4" w14:textId="77777777" w:rsidTr="007F79CB">
        <w:trPr>
          <w:trHeight w:val="255"/>
        </w:trPr>
        <w:tc>
          <w:tcPr>
            <w:tcW w:w="3780" w:type="dxa"/>
            <w:vAlign w:val="center"/>
          </w:tcPr>
          <w:p w14:paraId="0BB76339" w14:textId="77777777" w:rsidR="00490F0F" w:rsidRPr="00C03687" w:rsidRDefault="00490F0F" w:rsidP="007F79CB">
            <w:pPr>
              <w:jc w:val="right"/>
            </w:pPr>
            <w:r>
              <w:t>The Catamount School</w:t>
            </w:r>
          </w:p>
        </w:tc>
        <w:tc>
          <w:tcPr>
            <w:tcW w:w="1620" w:type="dxa"/>
            <w:vAlign w:val="center"/>
          </w:tcPr>
          <w:p w14:paraId="15664166" w14:textId="77777777" w:rsidR="00490F0F" w:rsidRDefault="00490F0F" w:rsidP="007F79CB">
            <w:pPr>
              <w:jc w:val="center"/>
            </w:pPr>
            <w:r>
              <w:t>55</w:t>
            </w:r>
          </w:p>
        </w:tc>
        <w:tc>
          <w:tcPr>
            <w:tcW w:w="4018" w:type="dxa"/>
            <w:vAlign w:val="center"/>
          </w:tcPr>
          <w:p w14:paraId="0EE7A8AB" w14:textId="77777777" w:rsidR="00490F0F" w:rsidRPr="00C03687" w:rsidRDefault="00490F0F" w:rsidP="007F79CB">
            <w:pPr>
              <w:jc w:val="center"/>
            </w:pPr>
            <w:r>
              <w:t>94.14</w:t>
            </w:r>
          </w:p>
        </w:tc>
      </w:tr>
      <w:tr w:rsidR="00490F0F" w14:paraId="15F4C438" w14:textId="77777777" w:rsidTr="007F79CB">
        <w:trPr>
          <w:trHeight w:val="270"/>
        </w:trPr>
        <w:tc>
          <w:tcPr>
            <w:tcW w:w="9418" w:type="dxa"/>
            <w:gridSpan w:val="3"/>
            <w:vAlign w:val="center"/>
          </w:tcPr>
          <w:p w14:paraId="3E0D0E92" w14:textId="595A13D8" w:rsidR="00490F0F" w:rsidRPr="006F5A25" w:rsidRDefault="00490F0F" w:rsidP="007F79CB">
            <w:pPr>
              <w:jc w:val="center"/>
              <w:rPr>
                <w:i/>
              </w:rPr>
            </w:pPr>
            <w:r>
              <w:rPr>
                <w:i/>
              </w:rPr>
              <w:t>Laboratory School Comparisons (Same Grade Students Enrolled in the LEA)</w:t>
            </w:r>
          </w:p>
        </w:tc>
      </w:tr>
      <w:tr w:rsidR="00490F0F" w14:paraId="51AF3007" w14:textId="77777777" w:rsidTr="007F79CB">
        <w:trPr>
          <w:trHeight w:val="255"/>
        </w:trPr>
        <w:tc>
          <w:tcPr>
            <w:tcW w:w="3780" w:type="dxa"/>
            <w:vAlign w:val="center"/>
          </w:tcPr>
          <w:p w14:paraId="6A184F44" w14:textId="77777777" w:rsidR="00490F0F" w:rsidRPr="00C03687" w:rsidRDefault="00490F0F" w:rsidP="007F79CB">
            <w:pPr>
              <w:jc w:val="right"/>
            </w:pPr>
            <w:r>
              <w:t>Winston-Salem Forsyth (K-5)</w:t>
            </w:r>
          </w:p>
        </w:tc>
        <w:tc>
          <w:tcPr>
            <w:tcW w:w="1620" w:type="dxa"/>
            <w:vAlign w:val="center"/>
          </w:tcPr>
          <w:p w14:paraId="41A5C303" w14:textId="77777777" w:rsidR="00490F0F" w:rsidRPr="00C03687" w:rsidRDefault="00490F0F" w:rsidP="007F79CB">
            <w:pPr>
              <w:jc w:val="center"/>
            </w:pPr>
            <w:r>
              <w:t>25,644</w:t>
            </w:r>
          </w:p>
        </w:tc>
        <w:tc>
          <w:tcPr>
            <w:tcW w:w="4018" w:type="dxa"/>
            <w:vAlign w:val="center"/>
          </w:tcPr>
          <w:p w14:paraId="0F3725BB" w14:textId="77777777" w:rsidR="00490F0F" w:rsidRPr="00C03687" w:rsidRDefault="00490F0F" w:rsidP="007F79CB">
            <w:pPr>
              <w:jc w:val="center"/>
            </w:pPr>
            <w:r>
              <w:t>94.45</w:t>
            </w:r>
          </w:p>
        </w:tc>
      </w:tr>
      <w:tr w:rsidR="00490F0F" w14:paraId="15254619" w14:textId="77777777" w:rsidTr="007F79CB">
        <w:trPr>
          <w:trHeight w:val="270"/>
        </w:trPr>
        <w:tc>
          <w:tcPr>
            <w:tcW w:w="3780" w:type="dxa"/>
            <w:vAlign w:val="center"/>
          </w:tcPr>
          <w:p w14:paraId="48D2661E" w14:textId="77777777" w:rsidR="00490F0F" w:rsidRPr="00C03687" w:rsidRDefault="00490F0F" w:rsidP="007F79CB">
            <w:pPr>
              <w:jc w:val="right"/>
            </w:pPr>
            <w:r>
              <w:t>Pitt County (K-5)</w:t>
            </w:r>
          </w:p>
        </w:tc>
        <w:tc>
          <w:tcPr>
            <w:tcW w:w="1620" w:type="dxa"/>
            <w:vAlign w:val="center"/>
          </w:tcPr>
          <w:p w14:paraId="4AA4641D" w14:textId="77777777" w:rsidR="00490F0F" w:rsidRPr="00C03687" w:rsidRDefault="00490F0F" w:rsidP="007F79CB">
            <w:pPr>
              <w:jc w:val="center"/>
            </w:pPr>
            <w:r>
              <w:t>11,221</w:t>
            </w:r>
          </w:p>
        </w:tc>
        <w:tc>
          <w:tcPr>
            <w:tcW w:w="4018" w:type="dxa"/>
            <w:vAlign w:val="center"/>
          </w:tcPr>
          <w:p w14:paraId="1FA196DC" w14:textId="77777777" w:rsidR="00490F0F" w:rsidRPr="00C03687" w:rsidRDefault="00490F0F" w:rsidP="007F79CB">
            <w:pPr>
              <w:jc w:val="center"/>
            </w:pPr>
            <w:r>
              <w:t>95.29</w:t>
            </w:r>
          </w:p>
        </w:tc>
      </w:tr>
      <w:tr w:rsidR="00490F0F" w14:paraId="31B55B4C" w14:textId="77777777" w:rsidTr="007F79CB">
        <w:trPr>
          <w:trHeight w:val="270"/>
        </w:trPr>
        <w:tc>
          <w:tcPr>
            <w:tcW w:w="3780" w:type="dxa"/>
            <w:vAlign w:val="center"/>
          </w:tcPr>
          <w:p w14:paraId="51FEEE32" w14:textId="77777777" w:rsidR="00490F0F" w:rsidRDefault="00490F0F" w:rsidP="007F79CB">
            <w:pPr>
              <w:jc w:val="right"/>
            </w:pPr>
            <w:r>
              <w:t>South Greenville Elementary (K-5)</w:t>
            </w:r>
          </w:p>
        </w:tc>
        <w:tc>
          <w:tcPr>
            <w:tcW w:w="1620" w:type="dxa"/>
            <w:vAlign w:val="center"/>
          </w:tcPr>
          <w:p w14:paraId="3C04C816" w14:textId="77777777" w:rsidR="00490F0F" w:rsidRPr="00C03687" w:rsidRDefault="00490F0F" w:rsidP="007F79CB">
            <w:pPr>
              <w:jc w:val="center"/>
            </w:pPr>
            <w:r>
              <w:t>395</w:t>
            </w:r>
          </w:p>
        </w:tc>
        <w:tc>
          <w:tcPr>
            <w:tcW w:w="4018" w:type="dxa"/>
            <w:vAlign w:val="center"/>
          </w:tcPr>
          <w:p w14:paraId="1E7CB841" w14:textId="77777777" w:rsidR="00490F0F" w:rsidRPr="00C03687" w:rsidRDefault="00490F0F" w:rsidP="007F79CB">
            <w:pPr>
              <w:jc w:val="center"/>
            </w:pPr>
            <w:r>
              <w:t>93.25</w:t>
            </w:r>
          </w:p>
        </w:tc>
      </w:tr>
      <w:tr w:rsidR="00490F0F" w14:paraId="46C9AA24" w14:textId="77777777" w:rsidTr="007F79CB">
        <w:trPr>
          <w:trHeight w:val="270"/>
        </w:trPr>
        <w:tc>
          <w:tcPr>
            <w:tcW w:w="3780" w:type="dxa"/>
            <w:vAlign w:val="center"/>
          </w:tcPr>
          <w:p w14:paraId="157C499B" w14:textId="68AAD4F5" w:rsidR="00490F0F" w:rsidRDefault="004F6891" w:rsidP="007F79CB">
            <w:pPr>
              <w:jc w:val="right"/>
            </w:pPr>
            <w:r>
              <w:t>Rockingham County Schools</w:t>
            </w:r>
            <w:r w:rsidR="00490F0F">
              <w:t xml:space="preserve"> (K-5)</w:t>
            </w:r>
          </w:p>
        </w:tc>
        <w:tc>
          <w:tcPr>
            <w:tcW w:w="1620" w:type="dxa"/>
            <w:vAlign w:val="center"/>
          </w:tcPr>
          <w:p w14:paraId="5C206E5D" w14:textId="77777777" w:rsidR="00490F0F" w:rsidRPr="00C03687" w:rsidRDefault="00490F0F" w:rsidP="007F79CB">
            <w:pPr>
              <w:jc w:val="center"/>
            </w:pPr>
            <w:r>
              <w:t>5,529</w:t>
            </w:r>
          </w:p>
        </w:tc>
        <w:tc>
          <w:tcPr>
            <w:tcW w:w="4018" w:type="dxa"/>
            <w:vAlign w:val="center"/>
          </w:tcPr>
          <w:p w14:paraId="6336C252" w14:textId="77777777" w:rsidR="00490F0F" w:rsidRPr="00C03687" w:rsidRDefault="00490F0F" w:rsidP="007F79CB">
            <w:pPr>
              <w:jc w:val="center"/>
            </w:pPr>
            <w:r>
              <w:t>94.03</w:t>
            </w:r>
          </w:p>
        </w:tc>
      </w:tr>
      <w:tr w:rsidR="00490F0F" w14:paraId="78E644D5" w14:textId="77777777" w:rsidTr="007F79CB">
        <w:trPr>
          <w:trHeight w:val="270"/>
        </w:trPr>
        <w:tc>
          <w:tcPr>
            <w:tcW w:w="3780" w:type="dxa"/>
            <w:vAlign w:val="center"/>
          </w:tcPr>
          <w:p w14:paraId="41910590" w14:textId="0A9D84F8" w:rsidR="00490F0F" w:rsidRDefault="004F6891" w:rsidP="007F79CB">
            <w:pPr>
              <w:jc w:val="right"/>
            </w:pPr>
            <w:r>
              <w:t>New Hanover County Schools</w:t>
            </w:r>
            <w:r w:rsidR="00490F0F">
              <w:t xml:space="preserve"> (K-8)</w:t>
            </w:r>
          </w:p>
        </w:tc>
        <w:tc>
          <w:tcPr>
            <w:tcW w:w="1620" w:type="dxa"/>
            <w:vAlign w:val="center"/>
          </w:tcPr>
          <w:p w14:paraId="738F4106" w14:textId="77777777" w:rsidR="00490F0F" w:rsidRPr="00C03687" w:rsidRDefault="00490F0F" w:rsidP="007F79CB">
            <w:pPr>
              <w:jc w:val="center"/>
            </w:pPr>
            <w:r>
              <w:t>18,368</w:t>
            </w:r>
          </w:p>
        </w:tc>
        <w:tc>
          <w:tcPr>
            <w:tcW w:w="4018" w:type="dxa"/>
            <w:vAlign w:val="center"/>
          </w:tcPr>
          <w:p w14:paraId="59BE699B" w14:textId="77777777" w:rsidR="00490F0F" w:rsidRPr="00C03687" w:rsidRDefault="00490F0F" w:rsidP="007F79CB">
            <w:pPr>
              <w:jc w:val="center"/>
            </w:pPr>
            <w:r>
              <w:t>94.58</w:t>
            </w:r>
          </w:p>
        </w:tc>
      </w:tr>
      <w:tr w:rsidR="00490F0F" w14:paraId="23975211" w14:textId="77777777" w:rsidTr="007F79CB">
        <w:trPr>
          <w:trHeight w:val="270"/>
        </w:trPr>
        <w:tc>
          <w:tcPr>
            <w:tcW w:w="3780" w:type="dxa"/>
            <w:vAlign w:val="center"/>
          </w:tcPr>
          <w:p w14:paraId="34EBA44D" w14:textId="155E5E1A" w:rsidR="00490F0F" w:rsidRDefault="004F6891" w:rsidP="007F79CB">
            <w:pPr>
              <w:jc w:val="right"/>
            </w:pPr>
            <w:r>
              <w:t>Jackson County Schools</w:t>
            </w:r>
            <w:r w:rsidR="00490F0F">
              <w:t xml:space="preserve"> (6-8)</w:t>
            </w:r>
          </w:p>
        </w:tc>
        <w:tc>
          <w:tcPr>
            <w:tcW w:w="1620" w:type="dxa"/>
            <w:vAlign w:val="center"/>
          </w:tcPr>
          <w:p w14:paraId="4F0B00CD" w14:textId="77777777" w:rsidR="00490F0F" w:rsidRPr="00C03687" w:rsidRDefault="00490F0F" w:rsidP="007F79CB">
            <w:pPr>
              <w:jc w:val="center"/>
            </w:pPr>
            <w:r>
              <w:t>830</w:t>
            </w:r>
          </w:p>
        </w:tc>
        <w:tc>
          <w:tcPr>
            <w:tcW w:w="4018" w:type="dxa"/>
            <w:vAlign w:val="center"/>
          </w:tcPr>
          <w:p w14:paraId="742AA8B6" w14:textId="77777777" w:rsidR="00490F0F" w:rsidRPr="00C03687" w:rsidRDefault="00490F0F" w:rsidP="007F79CB">
            <w:pPr>
              <w:jc w:val="center"/>
            </w:pPr>
            <w:r>
              <w:t>93.34</w:t>
            </w:r>
          </w:p>
        </w:tc>
      </w:tr>
      <w:tr w:rsidR="00490F0F" w14:paraId="0F6523AA" w14:textId="77777777" w:rsidTr="007F79CB">
        <w:trPr>
          <w:trHeight w:val="270"/>
        </w:trPr>
        <w:tc>
          <w:tcPr>
            <w:tcW w:w="9418" w:type="dxa"/>
            <w:gridSpan w:val="3"/>
            <w:vAlign w:val="center"/>
          </w:tcPr>
          <w:p w14:paraId="7F342B11" w14:textId="77777777" w:rsidR="00490F0F" w:rsidRPr="00C03687" w:rsidRDefault="00490F0F" w:rsidP="007F79CB">
            <w:pPr>
              <w:jc w:val="center"/>
            </w:pPr>
            <w:r>
              <w:rPr>
                <w:i/>
              </w:rPr>
              <w:t>Laboratory School Comparisons (Same Grade Students Enrolled for the Entire Year in the LEA)</w:t>
            </w:r>
          </w:p>
        </w:tc>
      </w:tr>
      <w:tr w:rsidR="004F6891" w14:paraId="704A18E2" w14:textId="77777777" w:rsidTr="007F79CB">
        <w:trPr>
          <w:trHeight w:val="270"/>
        </w:trPr>
        <w:tc>
          <w:tcPr>
            <w:tcW w:w="3780" w:type="dxa"/>
            <w:vAlign w:val="center"/>
          </w:tcPr>
          <w:p w14:paraId="3615E73B" w14:textId="3DF04A93" w:rsidR="004F6891" w:rsidRDefault="004F6891" w:rsidP="004F6891">
            <w:pPr>
              <w:jc w:val="right"/>
            </w:pPr>
            <w:r>
              <w:t>Winston-Salem Forsyth (K-5)</w:t>
            </w:r>
          </w:p>
        </w:tc>
        <w:tc>
          <w:tcPr>
            <w:tcW w:w="1620" w:type="dxa"/>
            <w:vAlign w:val="center"/>
          </w:tcPr>
          <w:p w14:paraId="01549E4D" w14:textId="77777777" w:rsidR="004F6891" w:rsidRPr="00C03687" w:rsidRDefault="004F6891" w:rsidP="004F6891">
            <w:pPr>
              <w:jc w:val="center"/>
            </w:pPr>
            <w:r>
              <w:t>24,621</w:t>
            </w:r>
          </w:p>
        </w:tc>
        <w:tc>
          <w:tcPr>
            <w:tcW w:w="4018" w:type="dxa"/>
            <w:vAlign w:val="center"/>
          </w:tcPr>
          <w:p w14:paraId="2649979D" w14:textId="77777777" w:rsidR="004F6891" w:rsidRPr="00C03687" w:rsidRDefault="004F6891" w:rsidP="004F6891">
            <w:pPr>
              <w:jc w:val="center"/>
            </w:pPr>
            <w:r>
              <w:t>94.56</w:t>
            </w:r>
          </w:p>
        </w:tc>
      </w:tr>
      <w:tr w:rsidR="004F6891" w14:paraId="5F492536" w14:textId="77777777" w:rsidTr="007F79CB">
        <w:trPr>
          <w:trHeight w:val="270"/>
        </w:trPr>
        <w:tc>
          <w:tcPr>
            <w:tcW w:w="3780" w:type="dxa"/>
            <w:vAlign w:val="center"/>
          </w:tcPr>
          <w:p w14:paraId="65A979F1" w14:textId="62EF8DA2" w:rsidR="004F6891" w:rsidRDefault="004F6891" w:rsidP="004F6891">
            <w:pPr>
              <w:jc w:val="right"/>
            </w:pPr>
            <w:r>
              <w:t>Pitt County (K-5)</w:t>
            </w:r>
          </w:p>
        </w:tc>
        <w:tc>
          <w:tcPr>
            <w:tcW w:w="1620" w:type="dxa"/>
            <w:vAlign w:val="center"/>
          </w:tcPr>
          <w:p w14:paraId="31B80112" w14:textId="77777777" w:rsidR="004F6891" w:rsidRPr="00C03687" w:rsidRDefault="004F6891" w:rsidP="004F6891">
            <w:pPr>
              <w:jc w:val="center"/>
            </w:pPr>
            <w:r>
              <w:t>10,545</w:t>
            </w:r>
          </w:p>
        </w:tc>
        <w:tc>
          <w:tcPr>
            <w:tcW w:w="4018" w:type="dxa"/>
            <w:vAlign w:val="center"/>
          </w:tcPr>
          <w:p w14:paraId="7B0DE64E" w14:textId="77777777" w:rsidR="004F6891" w:rsidRPr="00C03687" w:rsidRDefault="004F6891" w:rsidP="004F6891">
            <w:pPr>
              <w:jc w:val="center"/>
            </w:pPr>
            <w:r>
              <w:t>95.48</w:t>
            </w:r>
          </w:p>
        </w:tc>
      </w:tr>
      <w:tr w:rsidR="004F6891" w14:paraId="2C79D8EC" w14:textId="77777777" w:rsidTr="007F79CB">
        <w:trPr>
          <w:trHeight w:val="270"/>
        </w:trPr>
        <w:tc>
          <w:tcPr>
            <w:tcW w:w="3780" w:type="dxa"/>
            <w:vAlign w:val="center"/>
          </w:tcPr>
          <w:p w14:paraId="14257198" w14:textId="38B1F488" w:rsidR="004F6891" w:rsidRDefault="004F6891" w:rsidP="004F6891">
            <w:pPr>
              <w:jc w:val="right"/>
            </w:pPr>
            <w:r>
              <w:t>South Greenville Elementary (K-5)</w:t>
            </w:r>
          </w:p>
        </w:tc>
        <w:tc>
          <w:tcPr>
            <w:tcW w:w="1620" w:type="dxa"/>
            <w:vAlign w:val="center"/>
          </w:tcPr>
          <w:p w14:paraId="7B839A0C" w14:textId="77777777" w:rsidR="004F6891" w:rsidRPr="00C03687" w:rsidRDefault="004F6891" w:rsidP="004F6891">
            <w:pPr>
              <w:jc w:val="center"/>
            </w:pPr>
            <w:r>
              <w:t>289</w:t>
            </w:r>
          </w:p>
        </w:tc>
        <w:tc>
          <w:tcPr>
            <w:tcW w:w="4018" w:type="dxa"/>
            <w:vAlign w:val="center"/>
          </w:tcPr>
          <w:p w14:paraId="02B9C9A8" w14:textId="77777777" w:rsidR="004F6891" w:rsidRPr="00C03687" w:rsidRDefault="004F6891" w:rsidP="004F6891">
            <w:pPr>
              <w:jc w:val="center"/>
            </w:pPr>
            <w:r>
              <w:t>93.13</w:t>
            </w:r>
          </w:p>
        </w:tc>
      </w:tr>
      <w:tr w:rsidR="004F6891" w14:paraId="0153A247" w14:textId="77777777" w:rsidTr="007F79CB">
        <w:trPr>
          <w:trHeight w:val="270"/>
        </w:trPr>
        <w:tc>
          <w:tcPr>
            <w:tcW w:w="3780" w:type="dxa"/>
            <w:vAlign w:val="center"/>
          </w:tcPr>
          <w:p w14:paraId="598393A0" w14:textId="53F87A61" w:rsidR="004F6891" w:rsidRDefault="004F6891" w:rsidP="004F6891">
            <w:pPr>
              <w:jc w:val="right"/>
            </w:pPr>
            <w:r>
              <w:t>Rockingham County Schools (K-5)</w:t>
            </w:r>
          </w:p>
        </w:tc>
        <w:tc>
          <w:tcPr>
            <w:tcW w:w="1620" w:type="dxa"/>
            <w:vAlign w:val="center"/>
          </w:tcPr>
          <w:p w14:paraId="27C35351" w14:textId="77777777" w:rsidR="004F6891" w:rsidRPr="00C03687" w:rsidRDefault="004F6891" w:rsidP="004F6891">
            <w:pPr>
              <w:jc w:val="center"/>
            </w:pPr>
            <w:r>
              <w:t>5,192</w:t>
            </w:r>
          </w:p>
        </w:tc>
        <w:tc>
          <w:tcPr>
            <w:tcW w:w="4018" w:type="dxa"/>
            <w:vAlign w:val="center"/>
          </w:tcPr>
          <w:p w14:paraId="0B601D60" w14:textId="77777777" w:rsidR="004F6891" w:rsidRPr="00C03687" w:rsidRDefault="004F6891" w:rsidP="004F6891">
            <w:pPr>
              <w:jc w:val="center"/>
            </w:pPr>
            <w:r>
              <w:t>94.31</w:t>
            </w:r>
          </w:p>
        </w:tc>
      </w:tr>
      <w:tr w:rsidR="004F6891" w14:paraId="673091B5" w14:textId="77777777" w:rsidTr="007F79CB">
        <w:trPr>
          <w:trHeight w:val="270"/>
        </w:trPr>
        <w:tc>
          <w:tcPr>
            <w:tcW w:w="3780" w:type="dxa"/>
            <w:vAlign w:val="center"/>
          </w:tcPr>
          <w:p w14:paraId="00852C54" w14:textId="6C7F5F2F" w:rsidR="004F6891" w:rsidRDefault="004F6891" w:rsidP="004F6891">
            <w:pPr>
              <w:jc w:val="right"/>
            </w:pPr>
            <w:r>
              <w:t>New Hanover County Schools (K-8)</w:t>
            </w:r>
          </w:p>
        </w:tc>
        <w:tc>
          <w:tcPr>
            <w:tcW w:w="1620" w:type="dxa"/>
            <w:vAlign w:val="center"/>
          </w:tcPr>
          <w:p w14:paraId="10023E47" w14:textId="77777777" w:rsidR="004F6891" w:rsidRPr="00C03687" w:rsidRDefault="004F6891" w:rsidP="004F6891">
            <w:pPr>
              <w:jc w:val="center"/>
            </w:pPr>
            <w:r>
              <w:t>17,415</w:t>
            </w:r>
          </w:p>
        </w:tc>
        <w:tc>
          <w:tcPr>
            <w:tcW w:w="4018" w:type="dxa"/>
            <w:vAlign w:val="center"/>
          </w:tcPr>
          <w:p w14:paraId="411BEBC4" w14:textId="77777777" w:rsidR="004F6891" w:rsidRPr="00C03687" w:rsidRDefault="004F6891" w:rsidP="004F6891">
            <w:pPr>
              <w:jc w:val="center"/>
            </w:pPr>
            <w:r>
              <w:t>94.78</w:t>
            </w:r>
          </w:p>
        </w:tc>
      </w:tr>
      <w:tr w:rsidR="004F6891" w14:paraId="0C9BEE41" w14:textId="77777777" w:rsidTr="007F79CB">
        <w:trPr>
          <w:trHeight w:val="270"/>
        </w:trPr>
        <w:tc>
          <w:tcPr>
            <w:tcW w:w="3780" w:type="dxa"/>
            <w:vAlign w:val="center"/>
          </w:tcPr>
          <w:p w14:paraId="4D52CAA2" w14:textId="01C7B257" w:rsidR="004F6891" w:rsidRDefault="004F6891" w:rsidP="004F6891">
            <w:pPr>
              <w:jc w:val="right"/>
            </w:pPr>
            <w:r>
              <w:t>Jackson County Schools (6-8)</w:t>
            </w:r>
          </w:p>
        </w:tc>
        <w:tc>
          <w:tcPr>
            <w:tcW w:w="1620" w:type="dxa"/>
            <w:vAlign w:val="center"/>
          </w:tcPr>
          <w:p w14:paraId="7C3488AE" w14:textId="77777777" w:rsidR="004F6891" w:rsidRPr="00C03687" w:rsidRDefault="004F6891" w:rsidP="004F6891">
            <w:pPr>
              <w:jc w:val="center"/>
            </w:pPr>
            <w:r>
              <w:t>795</w:t>
            </w:r>
          </w:p>
        </w:tc>
        <w:tc>
          <w:tcPr>
            <w:tcW w:w="4018" w:type="dxa"/>
            <w:vAlign w:val="center"/>
          </w:tcPr>
          <w:p w14:paraId="066C87A1" w14:textId="77777777" w:rsidR="004F6891" w:rsidRPr="00C03687" w:rsidRDefault="004F6891" w:rsidP="004F6891">
            <w:pPr>
              <w:jc w:val="center"/>
            </w:pPr>
            <w:r>
              <w:t>93.45</w:t>
            </w:r>
          </w:p>
        </w:tc>
      </w:tr>
    </w:tbl>
    <w:p w14:paraId="550FE105" w14:textId="77777777" w:rsidR="00490F0F" w:rsidRDefault="00490F0F" w:rsidP="00490F0F">
      <w:pPr>
        <w:spacing w:after="0" w:line="240" w:lineRule="auto"/>
        <w:jc w:val="both"/>
        <w:rPr>
          <w:iCs/>
        </w:rPr>
      </w:pPr>
      <w:r>
        <w:rPr>
          <w:i/>
          <w:sz w:val="16"/>
          <w:szCs w:val="16"/>
        </w:rPr>
        <w:t>Note:  This table displays attendance rates for laboratory school students and other, same-grade students in the host LEAs.</w:t>
      </w:r>
    </w:p>
    <w:p w14:paraId="6A959239" w14:textId="77777777" w:rsidR="00490F0F" w:rsidRDefault="00490F0F" w:rsidP="00840AA7">
      <w:pPr>
        <w:spacing w:after="0" w:line="240" w:lineRule="auto"/>
        <w:jc w:val="both"/>
      </w:pPr>
    </w:p>
    <w:p w14:paraId="4D8C926D" w14:textId="0B99FC32" w:rsidR="00C14D99" w:rsidRDefault="004C2349" w:rsidP="00AD5DE0">
      <w:pPr>
        <w:spacing w:after="0" w:line="240" w:lineRule="auto"/>
        <w:jc w:val="both"/>
        <w:rPr>
          <w:b/>
          <w:i/>
        </w:rPr>
      </w:pPr>
      <w:r>
        <w:rPr>
          <w:bCs/>
          <w:iCs/>
        </w:rPr>
        <w:t>Table 7 presents results from more rigorous analyses that compare attendance rates for laboratory school students versus the matched comparison sample. For these analyses, the Evaluation Team limits the sample—laboratory and matched comparison—to students enrolled at their school for the entire year.</w:t>
      </w:r>
      <w:r w:rsidR="00714402">
        <w:rPr>
          <w:rStyle w:val="FootnoteReference"/>
        </w:rPr>
        <w:footnoteReference w:id="53"/>
      </w:r>
      <w:r>
        <w:rPr>
          <w:bCs/>
          <w:iCs/>
        </w:rPr>
        <w:t xml:space="preserve"> </w:t>
      </w:r>
      <w:r w:rsidR="00E21F45">
        <w:rPr>
          <w:bCs/>
          <w:iCs/>
        </w:rPr>
        <w:t>Estimates in the top row of Table 7 indicate that laboratory school students have significantly higher attendance rates than matched comparison students. For example, in elementary grades, the attendance rate for laboratory school students is nearly 1.3 percent higher than for</w:t>
      </w:r>
      <w:r w:rsidR="00B245E0">
        <w:rPr>
          <w:bCs/>
          <w:iCs/>
        </w:rPr>
        <w:t xml:space="preserve"> the</w:t>
      </w:r>
      <w:r w:rsidR="00E21F45">
        <w:rPr>
          <w:bCs/>
          <w:iCs/>
        </w:rPr>
        <w:t xml:space="preserve"> matched sample.</w:t>
      </w:r>
      <w:r w:rsidR="002F6555">
        <w:rPr>
          <w:bCs/>
          <w:iCs/>
        </w:rPr>
        <w:t xml:space="preserve"> This estimate translates to approximately 2.2 fewer days absent for laboratory school students.</w:t>
      </w:r>
      <w:r w:rsidR="00AD5DE0">
        <w:rPr>
          <w:bCs/>
          <w:iCs/>
        </w:rPr>
        <w:t xml:space="preserve"> Separate results, by school, show that attendance rates are significantly higher at the A</w:t>
      </w:r>
      <w:r w:rsidR="00B245E0">
        <w:rPr>
          <w:bCs/>
          <w:iCs/>
        </w:rPr>
        <w:t>cademy at Middle Fork</w:t>
      </w:r>
      <w:r w:rsidR="00EC674B">
        <w:rPr>
          <w:bCs/>
          <w:iCs/>
        </w:rPr>
        <w:t xml:space="preserve"> (Appalachian </w:t>
      </w:r>
      <w:r w:rsidR="00EC674B">
        <w:rPr>
          <w:bCs/>
          <w:iCs/>
        </w:rPr>
        <w:lastRenderedPageBreak/>
        <w:t>State)</w:t>
      </w:r>
      <w:r w:rsidR="00AD5DE0">
        <w:rPr>
          <w:bCs/>
          <w:iCs/>
        </w:rPr>
        <w:t>, Moss Street Partnership School</w:t>
      </w:r>
      <w:r w:rsidR="00EC674B">
        <w:rPr>
          <w:bCs/>
          <w:iCs/>
        </w:rPr>
        <w:t xml:space="preserve"> (UNCG)</w:t>
      </w:r>
      <w:r w:rsidR="00AD5DE0">
        <w:rPr>
          <w:bCs/>
          <w:iCs/>
        </w:rPr>
        <w:t>, and D.C. Virgo Preparatory Academy</w:t>
      </w:r>
      <w:r w:rsidR="00EC674B">
        <w:rPr>
          <w:bCs/>
          <w:iCs/>
        </w:rPr>
        <w:t xml:space="preserve"> (UNCW)</w:t>
      </w:r>
      <w:r w:rsidR="00AD5DE0">
        <w:rPr>
          <w:bCs/>
          <w:iCs/>
        </w:rPr>
        <w:t>. Estimates are positive but statistically insignificant for the ECU Community School and The Catamount School</w:t>
      </w:r>
      <w:r w:rsidR="00EC674B">
        <w:rPr>
          <w:bCs/>
          <w:iCs/>
        </w:rPr>
        <w:t xml:space="preserve"> (WCU)</w:t>
      </w:r>
      <w:r w:rsidR="00AD5DE0">
        <w:rPr>
          <w:bCs/>
          <w:iCs/>
        </w:rPr>
        <w:t>.</w:t>
      </w:r>
    </w:p>
    <w:p w14:paraId="635309ED" w14:textId="03B0B539" w:rsidR="00C14D99" w:rsidRDefault="00C14D99" w:rsidP="00840AA7">
      <w:pPr>
        <w:spacing w:after="0" w:line="240" w:lineRule="auto"/>
        <w:rPr>
          <w:b/>
          <w:i/>
        </w:rPr>
      </w:pPr>
    </w:p>
    <w:p w14:paraId="013A4AA7" w14:textId="276D5C7D" w:rsidR="00C14D99" w:rsidRDefault="00C14D99" w:rsidP="00C14D99">
      <w:pPr>
        <w:spacing w:after="0" w:line="240" w:lineRule="auto"/>
        <w:jc w:val="both"/>
        <w:rPr>
          <w:i/>
        </w:rPr>
      </w:pPr>
      <w:r w:rsidRPr="00037B20">
        <w:rPr>
          <w:i/>
        </w:rPr>
        <w:t xml:space="preserve">Table </w:t>
      </w:r>
      <w:r>
        <w:rPr>
          <w:i/>
        </w:rPr>
        <w:t>7</w:t>
      </w:r>
      <w:r w:rsidRPr="00037B20">
        <w:rPr>
          <w:i/>
        </w:rPr>
        <w:t xml:space="preserve">:  </w:t>
      </w:r>
      <w:r w:rsidRPr="00037B20">
        <w:t xml:space="preserve"> </w:t>
      </w:r>
      <w:r>
        <w:rPr>
          <w:i/>
        </w:rPr>
        <w:t>Attendance Rates—Laboratory School Versus Matched Comparison Sample Students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60"/>
        <w:gridCol w:w="2590"/>
        <w:gridCol w:w="2273"/>
        <w:gridCol w:w="2087"/>
      </w:tblGrid>
      <w:tr w:rsidR="00C14D99" w14:paraId="2D41AA15" w14:textId="77777777" w:rsidTr="00714402">
        <w:trPr>
          <w:trHeight w:val="293"/>
        </w:trPr>
        <w:tc>
          <w:tcPr>
            <w:tcW w:w="2360" w:type="dxa"/>
            <w:shd w:val="clear" w:color="auto" w:fill="F2F2F2" w:themeFill="background1" w:themeFillShade="F2"/>
            <w:vAlign w:val="center"/>
          </w:tcPr>
          <w:p w14:paraId="344E8943" w14:textId="77777777" w:rsidR="00C14D99" w:rsidRPr="00851BC8" w:rsidRDefault="00C14D99" w:rsidP="007F79CB">
            <w:pPr>
              <w:jc w:val="center"/>
            </w:pPr>
          </w:p>
        </w:tc>
        <w:tc>
          <w:tcPr>
            <w:tcW w:w="2590" w:type="dxa"/>
            <w:shd w:val="clear" w:color="auto" w:fill="F2F2F2" w:themeFill="background1" w:themeFillShade="F2"/>
            <w:vAlign w:val="center"/>
          </w:tcPr>
          <w:p w14:paraId="43F4A9B4" w14:textId="276BD3B9" w:rsidR="00C14D99" w:rsidRPr="00851BC8" w:rsidRDefault="00714402" w:rsidP="007F79CB">
            <w:pPr>
              <w:jc w:val="center"/>
            </w:pPr>
            <w:r>
              <w:t>Elementary and Middle Grades Combined</w:t>
            </w:r>
          </w:p>
        </w:tc>
        <w:tc>
          <w:tcPr>
            <w:tcW w:w="2273" w:type="dxa"/>
            <w:shd w:val="clear" w:color="auto" w:fill="F2F2F2" w:themeFill="background1" w:themeFillShade="F2"/>
            <w:vAlign w:val="center"/>
          </w:tcPr>
          <w:p w14:paraId="1C1F45FB" w14:textId="7C939787" w:rsidR="00C14D99" w:rsidRPr="00851BC8" w:rsidRDefault="00C14D99" w:rsidP="007F79CB">
            <w:pPr>
              <w:jc w:val="center"/>
            </w:pPr>
            <w:r>
              <w:t xml:space="preserve">Elementary Grades </w:t>
            </w:r>
          </w:p>
        </w:tc>
        <w:tc>
          <w:tcPr>
            <w:tcW w:w="2087" w:type="dxa"/>
            <w:shd w:val="clear" w:color="auto" w:fill="F2F2F2" w:themeFill="background1" w:themeFillShade="F2"/>
            <w:vAlign w:val="center"/>
          </w:tcPr>
          <w:p w14:paraId="76CC7969" w14:textId="20102A3E" w:rsidR="00C14D99" w:rsidRPr="00851BC8" w:rsidRDefault="00C14D99" w:rsidP="007F79CB">
            <w:pPr>
              <w:jc w:val="center"/>
            </w:pPr>
            <w:r>
              <w:t>Middle Grades</w:t>
            </w:r>
          </w:p>
        </w:tc>
      </w:tr>
      <w:tr w:rsidR="00C14D99" w14:paraId="678BEBE6" w14:textId="77777777" w:rsidTr="00714402">
        <w:trPr>
          <w:trHeight w:val="293"/>
        </w:trPr>
        <w:tc>
          <w:tcPr>
            <w:tcW w:w="2360" w:type="dxa"/>
            <w:vAlign w:val="center"/>
          </w:tcPr>
          <w:p w14:paraId="4B26BACD" w14:textId="0DDA193A" w:rsidR="00C14D99" w:rsidRPr="00EC1AAE" w:rsidRDefault="00C14D99" w:rsidP="007F79CB">
            <w:pPr>
              <w:jc w:val="right"/>
              <w:rPr>
                <w:sz w:val="16"/>
                <w:szCs w:val="16"/>
              </w:rPr>
            </w:pPr>
            <w:r>
              <w:rPr>
                <w:sz w:val="16"/>
                <w:szCs w:val="16"/>
              </w:rPr>
              <w:t>Lab</w:t>
            </w:r>
            <w:r w:rsidR="00371433">
              <w:rPr>
                <w:sz w:val="16"/>
                <w:szCs w:val="16"/>
              </w:rPr>
              <w:t>oratory</w:t>
            </w:r>
            <w:r>
              <w:rPr>
                <w:sz w:val="16"/>
                <w:szCs w:val="16"/>
              </w:rPr>
              <w:t xml:space="preserve"> School Students</w:t>
            </w:r>
          </w:p>
        </w:tc>
        <w:tc>
          <w:tcPr>
            <w:tcW w:w="2590" w:type="dxa"/>
            <w:vAlign w:val="center"/>
          </w:tcPr>
          <w:p w14:paraId="7FF273D4" w14:textId="2E9F2EDA" w:rsidR="00C14D99" w:rsidRPr="00B7621C" w:rsidRDefault="00B7621C" w:rsidP="007F79CB">
            <w:pPr>
              <w:jc w:val="center"/>
              <w:rPr>
                <w:b/>
                <w:bCs/>
                <w:sz w:val="20"/>
                <w:szCs w:val="20"/>
                <w:vertAlign w:val="superscript"/>
              </w:rPr>
            </w:pPr>
            <w:r w:rsidRPr="00B7621C">
              <w:rPr>
                <w:b/>
                <w:bCs/>
                <w:sz w:val="20"/>
                <w:szCs w:val="20"/>
              </w:rPr>
              <w:t>1.310</w:t>
            </w:r>
            <w:r w:rsidRPr="00B7621C">
              <w:rPr>
                <w:b/>
                <w:bCs/>
                <w:sz w:val="20"/>
                <w:szCs w:val="20"/>
                <w:vertAlign w:val="superscript"/>
              </w:rPr>
              <w:t>**</w:t>
            </w:r>
          </w:p>
          <w:p w14:paraId="4E253BD3" w14:textId="61C4E88A" w:rsidR="00B7621C" w:rsidRPr="00EC1AAE" w:rsidRDefault="00B7621C" w:rsidP="007F79CB">
            <w:pPr>
              <w:jc w:val="center"/>
              <w:rPr>
                <w:sz w:val="20"/>
                <w:szCs w:val="20"/>
              </w:rPr>
            </w:pPr>
            <w:r>
              <w:rPr>
                <w:sz w:val="20"/>
                <w:szCs w:val="20"/>
              </w:rPr>
              <w:t>(0.145)</w:t>
            </w:r>
          </w:p>
        </w:tc>
        <w:tc>
          <w:tcPr>
            <w:tcW w:w="2273" w:type="dxa"/>
            <w:vAlign w:val="center"/>
          </w:tcPr>
          <w:p w14:paraId="4C12FB12" w14:textId="587A6698" w:rsidR="00C14D99" w:rsidRPr="00B7621C" w:rsidRDefault="00B7621C" w:rsidP="007F79CB">
            <w:pPr>
              <w:jc w:val="center"/>
              <w:rPr>
                <w:b/>
                <w:bCs/>
                <w:sz w:val="20"/>
                <w:szCs w:val="20"/>
                <w:vertAlign w:val="superscript"/>
              </w:rPr>
            </w:pPr>
            <w:r w:rsidRPr="00B7621C">
              <w:rPr>
                <w:b/>
                <w:bCs/>
                <w:sz w:val="20"/>
                <w:szCs w:val="20"/>
              </w:rPr>
              <w:t>1.286</w:t>
            </w:r>
            <w:r w:rsidRPr="00B7621C">
              <w:rPr>
                <w:b/>
                <w:bCs/>
                <w:sz w:val="20"/>
                <w:szCs w:val="20"/>
                <w:vertAlign w:val="superscript"/>
              </w:rPr>
              <w:t>**</w:t>
            </w:r>
          </w:p>
          <w:p w14:paraId="6FE4A9D3" w14:textId="32903567" w:rsidR="00B7621C" w:rsidRPr="00EC1AAE" w:rsidRDefault="00B7621C" w:rsidP="007F79CB">
            <w:pPr>
              <w:jc w:val="center"/>
              <w:rPr>
                <w:sz w:val="20"/>
                <w:szCs w:val="20"/>
              </w:rPr>
            </w:pPr>
            <w:r>
              <w:rPr>
                <w:sz w:val="20"/>
                <w:szCs w:val="20"/>
              </w:rPr>
              <w:t>(0.156)</w:t>
            </w:r>
          </w:p>
        </w:tc>
        <w:tc>
          <w:tcPr>
            <w:tcW w:w="2087" w:type="dxa"/>
            <w:vAlign w:val="center"/>
          </w:tcPr>
          <w:p w14:paraId="1469050C" w14:textId="34E3EE90" w:rsidR="00C14D99" w:rsidRPr="00B7621C" w:rsidRDefault="00B7621C" w:rsidP="007F79CB">
            <w:pPr>
              <w:jc w:val="center"/>
              <w:rPr>
                <w:b/>
                <w:bCs/>
                <w:sz w:val="20"/>
                <w:szCs w:val="20"/>
                <w:vertAlign w:val="superscript"/>
              </w:rPr>
            </w:pPr>
            <w:r w:rsidRPr="00B7621C">
              <w:rPr>
                <w:b/>
                <w:bCs/>
                <w:sz w:val="20"/>
                <w:szCs w:val="20"/>
              </w:rPr>
              <w:t>1.458</w:t>
            </w:r>
            <w:r w:rsidRPr="00B7621C">
              <w:rPr>
                <w:b/>
                <w:bCs/>
                <w:sz w:val="20"/>
                <w:szCs w:val="20"/>
                <w:vertAlign w:val="superscript"/>
              </w:rPr>
              <w:t>**</w:t>
            </w:r>
          </w:p>
          <w:p w14:paraId="58EE9F4B" w14:textId="5A5D4746" w:rsidR="00B7621C" w:rsidRPr="00EC1AAE" w:rsidRDefault="00B7621C" w:rsidP="007F79CB">
            <w:pPr>
              <w:jc w:val="center"/>
              <w:rPr>
                <w:sz w:val="20"/>
                <w:szCs w:val="20"/>
              </w:rPr>
            </w:pPr>
            <w:r>
              <w:rPr>
                <w:sz w:val="20"/>
                <w:szCs w:val="20"/>
              </w:rPr>
              <w:t>(0.411)</w:t>
            </w:r>
          </w:p>
        </w:tc>
      </w:tr>
      <w:tr w:rsidR="00C14D99" w14:paraId="0BC5CDE4" w14:textId="77777777" w:rsidTr="00714402">
        <w:trPr>
          <w:trHeight w:val="293"/>
        </w:trPr>
        <w:tc>
          <w:tcPr>
            <w:tcW w:w="2360" w:type="dxa"/>
            <w:vAlign w:val="center"/>
          </w:tcPr>
          <w:p w14:paraId="7DE5B470" w14:textId="4CF68EF9" w:rsidR="00C14D99" w:rsidRPr="00EC1AAE" w:rsidRDefault="00B245E0" w:rsidP="007F79CB">
            <w:pPr>
              <w:jc w:val="right"/>
              <w:rPr>
                <w:sz w:val="16"/>
                <w:szCs w:val="16"/>
              </w:rPr>
            </w:pPr>
            <w:r>
              <w:rPr>
                <w:sz w:val="16"/>
                <w:szCs w:val="16"/>
              </w:rPr>
              <w:t>Academy at Middle Fork</w:t>
            </w:r>
          </w:p>
        </w:tc>
        <w:tc>
          <w:tcPr>
            <w:tcW w:w="2590" w:type="dxa"/>
            <w:vAlign w:val="center"/>
          </w:tcPr>
          <w:p w14:paraId="7FBB5C2D" w14:textId="7FBE79F8" w:rsidR="00C14D99" w:rsidRPr="00B7621C" w:rsidRDefault="00B7621C" w:rsidP="007F79CB">
            <w:pPr>
              <w:jc w:val="center"/>
              <w:rPr>
                <w:b/>
                <w:bCs/>
                <w:sz w:val="20"/>
                <w:szCs w:val="20"/>
                <w:vertAlign w:val="superscript"/>
              </w:rPr>
            </w:pPr>
            <w:r w:rsidRPr="00B7621C">
              <w:rPr>
                <w:b/>
                <w:bCs/>
                <w:sz w:val="20"/>
                <w:szCs w:val="20"/>
              </w:rPr>
              <w:t>0.508</w:t>
            </w:r>
            <w:r w:rsidRPr="00B7621C">
              <w:rPr>
                <w:b/>
                <w:bCs/>
                <w:sz w:val="20"/>
                <w:szCs w:val="20"/>
                <w:vertAlign w:val="superscript"/>
              </w:rPr>
              <w:t>*</w:t>
            </w:r>
          </w:p>
          <w:p w14:paraId="199BF346" w14:textId="3F717C68" w:rsidR="00B7621C" w:rsidRPr="00EC1AAE" w:rsidRDefault="00B7621C" w:rsidP="007F79CB">
            <w:pPr>
              <w:jc w:val="center"/>
              <w:rPr>
                <w:sz w:val="20"/>
                <w:szCs w:val="20"/>
              </w:rPr>
            </w:pPr>
            <w:r>
              <w:rPr>
                <w:sz w:val="20"/>
                <w:szCs w:val="20"/>
              </w:rPr>
              <w:t>(0.255)</w:t>
            </w:r>
          </w:p>
        </w:tc>
        <w:tc>
          <w:tcPr>
            <w:tcW w:w="2273" w:type="dxa"/>
            <w:vAlign w:val="center"/>
          </w:tcPr>
          <w:p w14:paraId="0804F937" w14:textId="534973BD" w:rsidR="00C14D99" w:rsidRPr="00B7621C" w:rsidRDefault="00B7621C" w:rsidP="007F79CB">
            <w:pPr>
              <w:jc w:val="center"/>
              <w:rPr>
                <w:b/>
                <w:bCs/>
                <w:sz w:val="20"/>
                <w:szCs w:val="20"/>
                <w:vertAlign w:val="superscript"/>
              </w:rPr>
            </w:pPr>
            <w:r w:rsidRPr="00B7621C">
              <w:rPr>
                <w:b/>
                <w:bCs/>
                <w:sz w:val="20"/>
                <w:szCs w:val="20"/>
              </w:rPr>
              <w:t>0.474</w:t>
            </w:r>
            <w:r w:rsidRPr="00B7621C">
              <w:rPr>
                <w:b/>
                <w:bCs/>
                <w:sz w:val="20"/>
                <w:szCs w:val="20"/>
                <w:vertAlign w:val="superscript"/>
              </w:rPr>
              <w:t>+</w:t>
            </w:r>
          </w:p>
          <w:p w14:paraId="6FE241F3" w14:textId="2A4279DA" w:rsidR="00B7621C" w:rsidRPr="00EC1AAE" w:rsidRDefault="00B7621C" w:rsidP="007F79CB">
            <w:pPr>
              <w:jc w:val="center"/>
              <w:rPr>
                <w:sz w:val="20"/>
                <w:szCs w:val="20"/>
              </w:rPr>
            </w:pPr>
            <w:r>
              <w:rPr>
                <w:sz w:val="20"/>
                <w:szCs w:val="20"/>
              </w:rPr>
              <w:t>(0.255)</w:t>
            </w:r>
          </w:p>
        </w:tc>
        <w:tc>
          <w:tcPr>
            <w:tcW w:w="2087" w:type="dxa"/>
            <w:vAlign w:val="center"/>
          </w:tcPr>
          <w:p w14:paraId="30B92ABA" w14:textId="1A214999" w:rsidR="00C14D99" w:rsidRPr="00EC1AAE" w:rsidRDefault="00B7621C" w:rsidP="007F79CB">
            <w:pPr>
              <w:jc w:val="center"/>
              <w:rPr>
                <w:sz w:val="20"/>
                <w:szCs w:val="20"/>
              </w:rPr>
            </w:pPr>
            <w:r>
              <w:rPr>
                <w:sz w:val="20"/>
                <w:szCs w:val="20"/>
              </w:rPr>
              <w:t>---</w:t>
            </w:r>
          </w:p>
        </w:tc>
      </w:tr>
      <w:tr w:rsidR="00C14D99" w14:paraId="2FBA94E1" w14:textId="77777777" w:rsidTr="00714402">
        <w:trPr>
          <w:trHeight w:val="293"/>
        </w:trPr>
        <w:tc>
          <w:tcPr>
            <w:tcW w:w="2360" w:type="dxa"/>
            <w:vAlign w:val="center"/>
          </w:tcPr>
          <w:p w14:paraId="3E7850DC" w14:textId="77777777" w:rsidR="00C14D99" w:rsidRPr="00EC1AAE" w:rsidRDefault="00C14D99" w:rsidP="007F79CB">
            <w:pPr>
              <w:jc w:val="right"/>
              <w:rPr>
                <w:sz w:val="16"/>
                <w:szCs w:val="16"/>
              </w:rPr>
            </w:pPr>
            <w:r>
              <w:rPr>
                <w:sz w:val="16"/>
                <w:szCs w:val="16"/>
              </w:rPr>
              <w:t>ECU Community School</w:t>
            </w:r>
          </w:p>
        </w:tc>
        <w:tc>
          <w:tcPr>
            <w:tcW w:w="2590" w:type="dxa"/>
            <w:vAlign w:val="center"/>
          </w:tcPr>
          <w:p w14:paraId="6FDD8623" w14:textId="77777777" w:rsidR="00C14D99" w:rsidRDefault="00B7621C" w:rsidP="007F79CB">
            <w:pPr>
              <w:jc w:val="center"/>
              <w:rPr>
                <w:sz w:val="20"/>
                <w:szCs w:val="20"/>
              </w:rPr>
            </w:pPr>
            <w:r>
              <w:rPr>
                <w:sz w:val="20"/>
                <w:szCs w:val="20"/>
              </w:rPr>
              <w:t>0.588</w:t>
            </w:r>
          </w:p>
          <w:p w14:paraId="58501C85" w14:textId="16B30515" w:rsidR="00B7621C" w:rsidRPr="00EC1AAE" w:rsidRDefault="00B7621C" w:rsidP="007F79CB">
            <w:pPr>
              <w:jc w:val="center"/>
              <w:rPr>
                <w:sz w:val="20"/>
                <w:szCs w:val="20"/>
              </w:rPr>
            </w:pPr>
            <w:r>
              <w:rPr>
                <w:sz w:val="20"/>
                <w:szCs w:val="20"/>
              </w:rPr>
              <w:t>(0.606)</w:t>
            </w:r>
          </w:p>
        </w:tc>
        <w:tc>
          <w:tcPr>
            <w:tcW w:w="2273" w:type="dxa"/>
            <w:vAlign w:val="center"/>
          </w:tcPr>
          <w:p w14:paraId="2FFB399B" w14:textId="77777777" w:rsidR="00C14D99" w:rsidRDefault="00B7621C" w:rsidP="007F79CB">
            <w:pPr>
              <w:jc w:val="center"/>
              <w:rPr>
                <w:sz w:val="20"/>
                <w:szCs w:val="20"/>
              </w:rPr>
            </w:pPr>
            <w:r>
              <w:rPr>
                <w:sz w:val="20"/>
                <w:szCs w:val="20"/>
              </w:rPr>
              <w:t>0.479</w:t>
            </w:r>
          </w:p>
          <w:p w14:paraId="326B9DA5" w14:textId="023BB3C5" w:rsidR="00B7621C" w:rsidRPr="00EC1AAE" w:rsidRDefault="00B7621C" w:rsidP="007F79CB">
            <w:pPr>
              <w:jc w:val="center"/>
              <w:rPr>
                <w:sz w:val="20"/>
                <w:szCs w:val="20"/>
              </w:rPr>
            </w:pPr>
            <w:r>
              <w:rPr>
                <w:sz w:val="20"/>
                <w:szCs w:val="20"/>
              </w:rPr>
              <w:t>(0.596)</w:t>
            </w:r>
          </w:p>
        </w:tc>
        <w:tc>
          <w:tcPr>
            <w:tcW w:w="2087" w:type="dxa"/>
            <w:vAlign w:val="center"/>
          </w:tcPr>
          <w:p w14:paraId="658B9642" w14:textId="59AE11F6" w:rsidR="00C14D99" w:rsidRPr="00EC1AAE" w:rsidRDefault="00B7621C" w:rsidP="007F79CB">
            <w:pPr>
              <w:jc w:val="center"/>
              <w:rPr>
                <w:sz w:val="20"/>
                <w:szCs w:val="20"/>
              </w:rPr>
            </w:pPr>
            <w:r>
              <w:rPr>
                <w:sz w:val="20"/>
                <w:szCs w:val="20"/>
              </w:rPr>
              <w:t>---</w:t>
            </w:r>
          </w:p>
        </w:tc>
      </w:tr>
      <w:tr w:rsidR="00C14D99" w14:paraId="53833AB3" w14:textId="77777777" w:rsidTr="00714402">
        <w:trPr>
          <w:trHeight w:val="293"/>
        </w:trPr>
        <w:tc>
          <w:tcPr>
            <w:tcW w:w="2360" w:type="dxa"/>
            <w:vAlign w:val="center"/>
          </w:tcPr>
          <w:p w14:paraId="23EE3D4D" w14:textId="77777777" w:rsidR="00C14D99" w:rsidRPr="00EC1AAE" w:rsidRDefault="00C14D99" w:rsidP="007F79CB">
            <w:pPr>
              <w:jc w:val="right"/>
              <w:rPr>
                <w:sz w:val="16"/>
                <w:szCs w:val="16"/>
              </w:rPr>
            </w:pPr>
            <w:r>
              <w:rPr>
                <w:sz w:val="16"/>
                <w:szCs w:val="16"/>
              </w:rPr>
              <w:t>Moss Street Partnership School</w:t>
            </w:r>
          </w:p>
        </w:tc>
        <w:tc>
          <w:tcPr>
            <w:tcW w:w="2590" w:type="dxa"/>
            <w:vAlign w:val="center"/>
          </w:tcPr>
          <w:p w14:paraId="1F39A8C1" w14:textId="0D9A8886" w:rsidR="00C14D99" w:rsidRPr="00B7621C" w:rsidRDefault="00B7621C" w:rsidP="007F79CB">
            <w:pPr>
              <w:jc w:val="center"/>
              <w:rPr>
                <w:b/>
                <w:bCs/>
                <w:sz w:val="20"/>
                <w:szCs w:val="20"/>
                <w:vertAlign w:val="superscript"/>
              </w:rPr>
            </w:pPr>
            <w:r w:rsidRPr="00B7621C">
              <w:rPr>
                <w:b/>
                <w:bCs/>
                <w:sz w:val="20"/>
                <w:szCs w:val="20"/>
              </w:rPr>
              <w:t>1.801</w:t>
            </w:r>
            <w:r w:rsidRPr="00B7621C">
              <w:rPr>
                <w:b/>
                <w:bCs/>
                <w:sz w:val="20"/>
                <w:szCs w:val="20"/>
                <w:vertAlign w:val="superscript"/>
              </w:rPr>
              <w:t>**</w:t>
            </w:r>
          </w:p>
          <w:p w14:paraId="2D71FD81" w14:textId="22FB9CCD" w:rsidR="00B7621C" w:rsidRPr="00EC1AAE" w:rsidRDefault="00B7621C" w:rsidP="007F79CB">
            <w:pPr>
              <w:jc w:val="center"/>
              <w:rPr>
                <w:sz w:val="20"/>
                <w:szCs w:val="20"/>
              </w:rPr>
            </w:pPr>
            <w:r>
              <w:rPr>
                <w:sz w:val="20"/>
                <w:szCs w:val="20"/>
              </w:rPr>
              <w:t>(0.202)</w:t>
            </w:r>
          </w:p>
        </w:tc>
        <w:tc>
          <w:tcPr>
            <w:tcW w:w="2273" w:type="dxa"/>
            <w:vAlign w:val="center"/>
          </w:tcPr>
          <w:p w14:paraId="46C9EDFE" w14:textId="106FB736" w:rsidR="00C14D99" w:rsidRPr="00B7621C" w:rsidRDefault="00B7621C" w:rsidP="007F79CB">
            <w:pPr>
              <w:jc w:val="center"/>
              <w:rPr>
                <w:b/>
                <w:bCs/>
                <w:sz w:val="20"/>
                <w:szCs w:val="20"/>
                <w:vertAlign w:val="superscript"/>
              </w:rPr>
            </w:pPr>
            <w:r w:rsidRPr="00B7621C">
              <w:rPr>
                <w:b/>
                <w:bCs/>
                <w:sz w:val="20"/>
                <w:szCs w:val="20"/>
              </w:rPr>
              <w:t>1.860</w:t>
            </w:r>
            <w:r w:rsidRPr="00B7621C">
              <w:rPr>
                <w:b/>
                <w:bCs/>
                <w:sz w:val="20"/>
                <w:szCs w:val="20"/>
                <w:vertAlign w:val="superscript"/>
              </w:rPr>
              <w:t>**</w:t>
            </w:r>
          </w:p>
          <w:p w14:paraId="534624F8" w14:textId="2BF07D3F" w:rsidR="00B7621C" w:rsidRPr="00EC1AAE" w:rsidRDefault="00B7621C" w:rsidP="007F79CB">
            <w:pPr>
              <w:jc w:val="center"/>
              <w:rPr>
                <w:sz w:val="20"/>
                <w:szCs w:val="20"/>
              </w:rPr>
            </w:pPr>
            <w:r>
              <w:rPr>
                <w:sz w:val="20"/>
                <w:szCs w:val="20"/>
              </w:rPr>
              <w:t>(0.199)</w:t>
            </w:r>
          </w:p>
        </w:tc>
        <w:tc>
          <w:tcPr>
            <w:tcW w:w="2087" w:type="dxa"/>
            <w:vAlign w:val="center"/>
          </w:tcPr>
          <w:p w14:paraId="734271A7" w14:textId="76055800" w:rsidR="00C14D99" w:rsidRPr="00EC1AAE" w:rsidRDefault="00B7621C" w:rsidP="007F79CB">
            <w:pPr>
              <w:jc w:val="center"/>
              <w:rPr>
                <w:sz w:val="20"/>
                <w:szCs w:val="20"/>
              </w:rPr>
            </w:pPr>
            <w:r>
              <w:rPr>
                <w:sz w:val="20"/>
                <w:szCs w:val="20"/>
              </w:rPr>
              <w:t>---</w:t>
            </w:r>
          </w:p>
        </w:tc>
      </w:tr>
      <w:tr w:rsidR="00C14D99" w14:paraId="1C92076D" w14:textId="77777777" w:rsidTr="00714402">
        <w:trPr>
          <w:trHeight w:val="293"/>
        </w:trPr>
        <w:tc>
          <w:tcPr>
            <w:tcW w:w="2360" w:type="dxa"/>
            <w:vAlign w:val="center"/>
          </w:tcPr>
          <w:p w14:paraId="6C6FC2AF" w14:textId="77777777" w:rsidR="00C14D99" w:rsidRPr="00EC1AAE" w:rsidRDefault="00C14D99" w:rsidP="007F79CB">
            <w:pPr>
              <w:jc w:val="right"/>
              <w:rPr>
                <w:sz w:val="16"/>
                <w:szCs w:val="16"/>
              </w:rPr>
            </w:pPr>
            <w:r>
              <w:rPr>
                <w:sz w:val="16"/>
                <w:szCs w:val="16"/>
              </w:rPr>
              <w:t>D.C. Virgo Preparatory Academy</w:t>
            </w:r>
          </w:p>
        </w:tc>
        <w:tc>
          <w:tcPr>
            <w:tcW w:w="2590" w:type="dxa"/>
            <w:vAlign w:val="center"/>
          </w:tcPr>
          <w:p w14:paraId="7A4BF509" w14:textId="22F010B0" w:rsidR="00C14D99" w:rsidRPr="00B7621C" w:rsidRDefault="00B7621C" w:rsidP="007F79CB">
            <w:pPr>
              <w:jc w:val="center"/>
              <w:rPr>
                <w:b/>
                <w:bCs/>
                <w:sz w:val="20"/>
                <w:szCs w:val="20"/>
                <w:vertAlign w:val="superscript"/>
              </w:rPr>
            </w:pPr>
            <w:r w:rsidRPr="00B7621C">
              <w:rPr>
                <w:b/>
                <w:bCs/>
                <w:sz w:val="20"/>
                <w:szCs w:val="20"/>
              </w:rPr>
              <w:t>2.002</w:t>
            </w:r>
            <w:r w:rsidRPr="00B7621C">
              <w:rPr>
                <w:b/>
                <w:bCs/>
                <w:sz w:val="20"/>
                <w:szCs w:val="20"/>
                <w:vertAlign w:val="superscript"/>
              </w:rPr>
              <w:t>**</w:t>
            </w:r>
          </w:p>
          <w:p w14:paraId="2F2467AE" w14:textId="26967E81" w:rsidR="00B7621C" w:rsidRPr="00EC1AAE" w:rsidRDefault="00B7621C" w:rsidP="007F79CB">
            <w:pPr>
              <w:jc w:val="center"/>
              <w:rPr>
                <w:sz w:val="20"/>
                <w:szCs w:val="20"/>
              </w:rPr>
            </w:pPr>
            <w:r>
              <w:rPr>
                <w:sz w:val="20"/>
                <w:szCs w:val="20"/>
              </w:rPr>
              <w:t>(0.332)</w:t>
            </w:r>
          </w:p>
        </w:tc>
        <w:tc>
          <w:tcPr>
            <w:tcW w:w="2273" w:type="dxa"/>
            <w:vAlign w:val="center"/>
          </w:tcPr>
          <w:p w14:paraId="6A9F3AFC" w14:textId="38FA20AA" w:rsidR="00C14D99" w:rsidRPr="00B7621C" w:rsidRDefault="00B7621C" w:rsidP="007F79CB">
            <w:pPr>
              <w:jc w:val="center"/>
              <w:rPr>
                <w:b/>
                <w:bCs/>
                <w:sz w:val="20"/>
                <w:szCs w:val="20"/>
                <w:vertAlign w:val="superscript"/>
              </w:rPr>
            </w:pPr>
            <w:r w:rsidRPr="00B7621C">
              <w:rPr>
                <w:b/>
                <w:bCs/>
                <w:sz w:val="20"/>
                <w:szCs w:val="20"/>
              </w:rPr>
              <w:t>2.144</w:t>
            </w:r>
            <w:r w:rsidRPr="00B7621C">
              <w:rPr>
                <w:b/>
                <w:bCs/>
                <w:sz w:val="20"/>
                <w:szCs w:val="20"/>
                <w:vertAlign w:val="superscript"/>
              </w:rPr>
              <w:t>**</w:t>
            </w:r>
          </w:p>
          <w:p w14:paraId="786BC5A5" w14:textId="5B126D56" w:rsidR="00B7621C" w:rsidRPr="00EC1AAE" w:rsidRDefault="00B7621C" w:rsidP="007F79CB">
            <w:pPr>
              <w:jc w:val="center"/>
              <w:rPr>
                <w:sz w:val="20"/>
                <w:szCs w:val="20"/>
              </w:rPr>
            </w:pPr>
            <w:r>
              <w:rPr>
                <w:sz w:val="20"/>
                <w:szCs w:val="20"/>
              </w:rPr>
              <w:t>(0.446)</w:t>
            </w:r>
          </w:p>
        </w:tc>
        <w:tc>
          <w:tcPr>
            <w:tcW w:w="2087" w:type="dxa"/>
            <w:vAlign w:val="center"/>
          </w:tcPr>
          <w:p w14:paraId="2E8B9ED6" w14:textId="4BE867D3" w:rsidR="00C14D99" w:rsidRPr="00B7621C" w:rsidRDefault="00B7621C" w:rsidP="007F79CB">
            <w:pPr>
              <w:jc w:val="center"/>
              <w:rPr>
                <w:b/>
                <w:bCs/>
                <w:sz w:val="20"/>
                <w:szCs w:val="20"/>
                <w:vertAlign w:val="superscript"/>
              </w:rPr>
            </w:pPr>
            <w:r w:rsidRPr="00B7621C">
              <w:rPr>
                <w:b/>
                <w:bCs/>
                <w:sz w:val="20"/>
                <w:szCs w:val="20"/>
              </w:rPr>
              <w:t>1.919</w:t>
            </w:r>
            <w:r w:rsidRPr="00B7621C">
              <w:rPr>
                <w:b/>
                <w:bCs/>
                <w:sz w:val="20"/>
                <w:szCs w:val="20"/>
                <w:vertAlign w:val="superscript"/>
              </w:rPr>
              <w:t>**</w:t>
            </w:r>
          </w:p>
          <w:p w14:paraId="2AEA2B53" w14:textId="28D9692E" w:rsidR="00B7621C" w:rsidRPr="00EC1AAE" w:rsidRDefault="00B7621C" w:rsidP="007F79CB">
            <w:pPr>
              <w:jc w:val="center"/>
              <w:rPr>
                <w:sz w:val="20"/>
                <w:szCs w:val="20"/>
              </w:rPr>
            </w:pPr>
            <w:r>
              <w:rPr>
                <w:sz w:val="20"/>
                <w:szCs w:val="20"/>
              </w:rPr>
              <w:t>(0.516)</w:t>
            </w:r>
          </w:p>
        </w:tc>
      </w:tr>
      <w:tr w:rsidR="00C14D99" w14:paraId="4D0FA22B" w14:textId="77777777" w:rsidTr="00714402">
        <w:trPr>
          <w:trHeight w:val="293"/>
        </w:trPr>
        <w:tc>
          <w:tcPr>
            <w:tcW w:w="2360" w:type="dxa"/>
            <w:vAlign w:val="center"/>
          </w:tcPr>
          <w:p w14:paraId="2933AE86" w14:textId="77777777" w:rsidR="00C14D99" w:rsidRPr="00EC1AAE" w:rsidRDefault="00C14D99" w:rsidP="007F79CB">
            <w:pPr>
              <w:jc w:val="right"/>
              <w:rPr>
                <w:sz w:val="16"/>
                <w:szCs w:val="16"/>
              </w:rPr>
            </w:pPr>
            <w:r>
              <w:rPr>
                <w:sz w:val="16"/>
                <w:szCs w:val="16"/>
              </w:rPr>
              <w:t>The Catamount School</w:t>
            </w:r>
          </w:p>
        </w:tc>
        <w:tc>
          <w:tcPr>
            <w:tcW w:w="2590" w:type="dxa"/>
            <w:vAlign w:val="center"/>
          </w:tcPr>
          <w:p w14:paraId="0EA1553E" w14:textId="77777777" w:rsidR="00C14D99" w:rsidRDefault="00B7621C" w:rsidP="007F79CB">
            <w:pPr>
              <w:jc w:val="center"/>
              <w:rPr>
                <w:sz w:val="20"/>
                <w:szCs w:val="20"/>
              </w:rPr>
            </w:pPr>
            <w:r>
              <w:rPr>
                <w:sz w:val="20"/>
                <w:szCs w:val="20"/>
              </w:rPr>
              <w:t>0.622</w:t>
            </w:r>
          </w:p>
          <w:p w14:paraId="3EBB20EC" w14:textId="30E41AD5" w:rsidR="00B7621C" w:rsidRPr="00EC1AAE" w:rsidRDefault="00B7621C" w:rsidP="007F79CB">
            <w:pPr>
              <w:jc w:val="center"/>
              <w:rPr>
                <w:sz w:val="20"/>
                <w:szCs w:val="20"/>
              </w:rPr>
            </w:pPr>
            <w:r>
              <w:rPr>
                <w:sz w:val="20"/>
                <w:szCs w:val="20"/>
              </w:rPr>
              <w:t>(0.515)</w:t>
            </w:r>
          </w:p>
        </w:tc>
        <w:tc>
          <w:tcPr>
            <w:tcW w:w="2273" w:type="dxa"/>
            <w:vAlign w:val="center"/>
          </w:tcPr>
          <w:p w14:paraId="2BEADA33" w14:textId="26A2D9EB" w:rsidR="00C14D99" w:rsidRPr="00EC1AAE" w:rsidRDefault="00B7621C" w:rsidP="007F79CB">
            <w:pPr>
              <w:jc w:val="center"/>
              <w:rPr>
                <w:sz w:val="20"/>
                <w:szCs w:val="20"/>
              </w:rPr>
            </w:pPr>
            <w:r>
              <w:rPr>
                <w:sz w:val="20"/>
                <w:szCs w:val="20"/>
              </w:rPr>
              <w:t>---</w:t>
            </w:r>
          </w:p>
        </w:tc>
        <w:tc>
          <w:tcPr>
            <w:tcW w:w="2087" w:type="dxa"/>
            <w:vAlign w:val="center"/>
          </w:tcPr>
          <w:p w14:paraId="419314BC" w14:textId="77777777" w:rsidR="00C14D99" w:rsidRDefault="00B7621C" w:rsidP="007F79CB">
            <w:pPr>
              <w:jc w:val="center"/>
              <w:rPr>
                <w:sz w:val="20"/>
                <w:szCs w:val="20"/>
              </w:rPr>
            </w:pPr>
            <w:r>
              <w:rPr>
                <w:sz w:val="20"/>
                <w:szCs w:val="20"/>
              </w:rPr>
              <w:t>0.506</w:t>
            </w:r>
          </w:p>
          <w:p w14:paraId="6BC18F8C" w14:textId="6D6BD668" w:rsidR="00B7621C" w:rsidRPr="00EC1AAE" w:rsidRDefault="00B7621C" w:rsidP="007F79CB">
            <w:pPr>
              <w:jc w:val="center"/>
              <w:rPr>
                <w:sz w:val="20"/>
                <w:szCs w:val="20"/>
              </w:rPr>
            </w:pPr>
            <w:r>
              <w:rPr>
                <w:sz w:val="20"/>
                <w:szCs w:val="20"/>
              </w:rPr>
              <w:t>(0.563)</w:t>
            </w:r>
          </w:p>
        </w:tc>
      </w:tr>
      <w:tr w:rsidR="00C14D99" w14:paraId="31038B54" w14:textId="77777777" w:rsidTr="007F79CB">
        <w:trPr>
          <w:trHeight w:val="293"/>
        </w:trPr>
        <w:tc>
          <w:tcPr>
            <w:tcW w:w="9310" w:type="dxa"/>
            <w:gridSpan w:val="4"/>
            <w:vAlign w:val="center"/>
          </w:tcPr>
          <w:p w14:paraId="61A278DC" w14:textId="77777777" w:rsidR="00C14D99" w:rsidRPr="00EC1AAE" w:rsidRDefault="00C14D99" w:rsidP="007F79CB">
            <w:pPr>
              <w:jc w:val="center"/>
              <w:rPr>
                <w:sz w:val="20"/>
                <w:szCs w:val="20"/>
              </w:rPr>
            </w:pPr>
          </w:p>
        </w:tc>
      </w:tr>
      <w:tr w:rsidR="00C14D99" w14:paraId="5C743476" w14:textId="77777777" w:rsidTr="00714402">
        <w:trPr>
          <w:trHeight w:val="293"/>
        </w:trPr>
        <w:tc>
          <w:tcPr>
            <w:tcW w:w="2360" w:type="dxa"/>
            <w:vAlign w:val="center"/>
          </w:tcPr>
          <w:p w14:paraId="0C833FB4" w14:textId="77777777" w:rsidR="00C14D99" w:rsidRPr="00EC1AAE" w:rsidRDefault="00C14D99" w:rsidP="007F79CB">
            <w:pPr>
              <w:jc w:val="right"/>
              <w:rPr>
                <w:sz w:val="16"/>
                <w:szCs w:val="16"/>
              </w:rPr>
            </w:pPr>
            <w:r>
              <w:rPr>
                <w:sz w:val="16"/>
                <w:szCs w:val="16"/>
              </w:rPr>
              <w:t>Observations</w:t>
            </w:r>
          </w:p>
        </w:tc>
        <w:tc>
          <w:tcPr>
            <w:tcW w:w="2590" w:type="dxa"/>
            <w:vAlign w:val="center"/>
          </w:tcPr>
          <w:p w14:paraId="222F8FA5" w14:textId="43908892" w:rsidR="00C14D99" w:rsidRPr="00EC1AAE" w:rsidRDefault="00B7621C" w:rsidP="007F79CB">
            <w:pPr>
              <w:jc w:val="center"/>
              <w:rPr>
                <w:sz w:val="20"/>
                <w:szCs w:val="20"/>
              </w:rPr>
            </w:pPr>
            <w:r>
              <w:rPr>
                <w:sz w:val="20"/>
                <w:szCs w:val="20"/>
              </w:rPr>
              <w:t>3,843</w:t>
            </w:r>
          </w:p>
        </w:tc>
        <w:tc>
          <w:tcPr>
            <w:tcW w:w="2273" w:type="dxa"/>
            <w:vAlign w:val="center"/>
          </w:tcPr>
          <w:p w14:paraId="15A669B6" w14:textId="538CA125" w:rsidR="00C14D99" w:rsidRPr="00EC1AAE" w:rsidRDefault="00B7621C" w:rsidP="007F79CB">
            <w:pPr>
              <w:jc w:val="center"/>
              <w:rPr>
                <w:sz w:val="20"/>
                <w:szCs w:val="20"/>
              </w:rPr>
            </w:pPr>
            <w:r>
              <w:rPr>
                <w:sz w:val="20"/>
                <w:szCs w:val="20"/>
              </w:rPr>
              <w:t>3,159</w:t>
            </w:r>
          </w:p>
        </w:tc>
        <w:tc>
          <w:tcPr>
            <w:tcW w:w="2087" w:type="dxa"/>
            <w:vAlign w:val="center"/>
          </w:tcPr>
          <w:p w14:paraId="2C322A82" w14:textId="300D50A1" w:rsidR="00C14D99" w:rsidRPr="00EC1AAE" w:rsidRDefault="00B7621C" w:rsidP="007F79CB">
            <w:pPr>
              <w:jc w:val="center"/>
              <w:rPr>
                <w:sz w:val="20"/>
                <w:szCs w:val="20"/>
              </w:rPr>
            </w:pPr>
            <w:r>
              <w:rPr>
                <w:sz w:val="20"/>
                <w:szCs w:val="20"/>
              </w:rPr>
              <w:t>684</w:t>
            </w:r>
          </w:p>
        </w:tc>
      </w:tr>
    </w:tbl>
    <w:p w14:paraId="710D75D8" w14:textId="57461248" w:rsidR="00C14D99" w:rsidRPr="005E615B" w:rsidRDefault="00C14D99" w:rsidP="00C14D99">
      <w:pPr>
        <w:spacing w:after="0" w:line="240" w:lineRule="auto"/>
        <w:jc w:val="both"/>
        <w:rPr>
          <w:iCs/>
          <w:sz w:val="16"/>
          <w:szCs w:val="16"/>
        </w:rPr>
      </w:pPr>
      <w:r w:rsidRPr="005E615B">
        <w:rPr>
          <w:iCs/>
          <w:sz w:val="16"/>
          <w:szCs w:val="16"/>
        </w:rPr>
        <w:t xml:space="preserve">Note: This table presents estimates from models assessing the </w:t>
      </w:r>
      <w:r w:rsidR="00B7621C">
        <w:rPr>
          <w:iCs/>
          <w:sz w:val="16"/>
          <w:szCs w:val="16"/>
        </w:rPr>
        <w:t>attendance rates</w:t>
      </w:r>
      <w:r w:rsidRPr="005E615B">
        <w:rPr>
          <w:iCs/>
          <w:sz w:val="16"/>
          <w:szCs w:val="16"/>
        </w:rPr>
        <w:t xml:space="preserve"> of laboratory school students versus a matched comparison sample. </w:t>
      </w:r>
      <w:r>
        <w:rPr>
          <w:iCs/>
          <w:sz w:val="16"/>
          <w:szCs w:val="16"/>
        </w:rPr>
        <w:t xml:space="preserve">+, </w:t>
      </w:r>
      <w:r w:rsidRPr="005E615B">
        <w:rPr>
          <w:iCs/>
          <w:sz w:val="16"/>
          <w:szCs w:val="16"/>
        </w:rPr>
        <w:t>*</w:t>
      </w:r>
      <w:r>
        <w:rPr>
          <w:iCs/>
          <w:sz w:val="16"/>
          <w:szCs w:val="16"/>
        </w:rPr>
        <w:t>,</w:t>
      </w:r>
      <w:r w:rsidRPr="005E615B">
        <w:rPr>
          <w:iCs/>
          <w:sz w:val="16"/>
          <w:szCs w:val="16"/>
        </w:rPr>
        <w:t xml:space="preserve"> and ** indicate statistically significant differences between laboratory school and matched comparison sample students at the</w:t>
      </w:r>
      <w:r>
        <w:rPr>
          <w:iCs/>
          <w:sz w:val="16"/>
          <w:szCs w:val="16"/>
        </w:rPr>
        <w:t xml:space="preserve"> 0.10,</w:t>
      </w:r>
      <w:r w:rsidRPr="005E615B">
        <w:rPr>
          <w:iCs/>
          <w:sz w:val="16"/>
          <w:szCs w:val="16"/>
        </w:rPr>
        <w:t xml:space="preserve"> 0.05</w:t>
      </w:r>
      <w:r>
        <w:rPr>
          <w:iCs/>
          <w:sz w:val="16"/>
          <w:szCs w:val="16"/>
        </w:rPr>
        <w:t>,</w:t>
      </w:r>
      <w:r w:rsidRPr="005E615B">
        <w:rPr>
          <w:iCs/>
          <w:sz w:val="16"/>
          <w:szCs w:val="16"/>
        </w:rPr>
        <w:t xml:space="preserve"> and 0.01 levels, respectively. </w:t>
      </w:r>
    </w:p>
    <w:p w14:paraId="2261139E" w14:textId="77777777" w:rsidR="00C14D99" w:rsidRDefault="00C14D99" w:rsidP="00840AA7">
      <w:pPr>
        <w:spacing w:after="0" w:line="240" w:lineRule="auto"/>
        <w:rPr>
          <w:b/>
          <w:i/>
        </w:rPr>
      </w:pPr>
    </w:p>
    <w:p w14:paraId="3C45846C" w14:textId="02B631C1" w:rsidR="003A23F3" w:rsidRPr="00B16929" w:rsidRDefault="003A23F3" w:rsidP="00840AA7">
      <w:pPr>
        <w:spacing w:after="0" w:line="240" w:lineRule="auto"/>
        <w:rPr>
          <w:b/>
          <w:i/>
        </w:rPr>
      </w:pPr>
      <w:r w:rsidRPr="00B16929">
        <w:rPr>
          <w:b/>
          <w:i/>
        </w:rPr>
        <w:t>Do the laboratory schools support and strengthen educator preparation?</w:t>
      </w:r>
    </w:p>
    <w:p w14:paraId="719AEEC0" w14:textId="7FA3397D" w:rsidR="00EA39D6" w:rsidRDefault="00EA39D6" w:rsidP="00840AA7">
      <w:pPr>
        <w:spacing w:after="0" w:line="240" w:lineRule="auto"/>
        <w:jc w:val="both"/>
      </w:pPr>
    </w:p>
    <w:p w14:paraId="67AAFDD6" w14:textId="7E50F280" w:rsidR="00094D6A" w:rsidRDefault="001816BB" w:rsidP="00C20CC7">
      <w:pPr>
        <w:spacing w:after="0" w:line="240" w:lineRule="auto"/>
        <w:jc w:val="both"/>
      </w:pPr>
      <w:r>
        <w:t xml:space="preserve">In the third year of the laboratory school initiative, COEs </w:t>
      </w:r>
      <w:r w:rsidR="00672DBF">
        <w:t>refined</w:t>
      </w:r>
      <w:r>
        <w:t xml:space="preserve"> </w:t>
      </w:r>
      <w:r w:rsidR="00FC3A95">
        <w:t xml:space="preserve">their </w:t>
      </w:r>
      <w:r>
        <w:t xml:space="preserve">approach to integrating laboratory schools into </w:t>
      </w:r>
      <w:r w:rsidR="00FC3A95">
        <w:t>their educator preparation programs</w:t>
      </w:r>
      <w:r>
        <w:t>.</w:t>
      </w:r>
      <w:r w:rsidR="00FC3A95">
        <w:t xml:space="preserve"> </w:t>
      </w:r>
      <w:r w:rsidR="00094D6A">
        <w:t>Most notably, COEs us</w:t>
      </w:r>
      <w:r w:rsidR="00672DBF">
        <w:t>ed</w:t>
      </w:r>
      <w:r w:rsidR="00094D6A">
        <w:t xml:space="preserve"> methods and practicum courses relevant to laboratory school objectives to integrate pre-service candidates into laboratory schools. Frequently, methods instructors </w:t>
      </w:r>
      <w:r w:rsidR="00672DBF">
        <w:t>we</w:t>
      </w:r>
      <w:r w:rsidR="00094D6A">
        <w:t>re part of the COE curriculum team supporting the laboratory school, and in some cases, these instructors serve</w:t>
      </w:r>
      <w:r w:rsidR="00672DBF">
        <w:t>d</w:t>
      </w:r>
      <w:r w:rsidR="00094D6A">
        <w:t xml:space="preserve"> as co-teachers in content areas. When methods courses </w:t>
      </w:r>
      <w:r w:rsidR="00672DBF">
        <w:t>we</w:t>
      </w:r>
      <w:r w:rsidR="00094D6A">
        <w:t>re taught on-site at the laboratory school, instructors ha</w:t>
      </w:r>
      <w:r w:rsidR="00672DBF">
        <w:t>d</w:t>
      </w:r>
      <w:r w:rsidR="00094D6A">
        <w:t xml:space="preserve"> the opportunity to demonstrate instruction for </w:t>
      </w:r>
      <w:r w:rsidR="003D2FB7">
        <w:t>pre-service</w:t>
      </w:r>
      <w:r w:rsidR="00094D6A">
        <w:t xml:space="preserve"> candidates, who in turn, practice</w:t>
      </w:r>
      <w:r w:rsidR="00672DBF">
        <w:t>d</w:t>
      </w:r>
      <w:r w:rsidR="00094D6A">
        <w:t xml:space="preserve"> instructional techniques and strategies with small groups of laboratory school students. </w:t>
      </w:r>
      <w:r w:rsidR="001177E2">
        <w:t>T</w:t>
      </w:r>
      <w:r w:rsidR="00C20CC7">
        <w:t xml:space="preserve">his alignment </w:t>
      </w:r>
      <w:r w:rsidR="00672DBF">
        <w:t>was</w:t>
      </w:r>
      <w:r w:rsidR="001177E2">
        <w:t xml:space="preserve"> mutually beneficial to </w:t>
      </w:r>
      <w:r w:rsidR="003D2FB7">
        <w:t>pre-service</w:t>
      </w:r>
      <w:r w:rsidR="00A5295E">
        <w:t xml:space="preserve"> candidates and laboratory schools. </w:t>
      </w:r>
      <w:r w:rsidR="003D2FB7">
        <w:t>Pre-service</w:t>
      </w:r>
      <w:r w:rsidR="00C20CC7">
        <w:t xml:space="preserve"> candidates </w:t>
      </w:r>
      <w:r w:rsidR="00672DBF">
        <w:t>we</w:t>
      </w:r>
      <w:r w:rsidR="00C20CC7">
        <w:t>re guided in gaining experience in high-needs school settings while simultaneously providing laboratory school</w:t>
      </w:r>
      <w:r w:rsidR="00094D6A">
        <w:t>s with</w:t>
      </w:r>
      <w:r w:rsidR="00C20CC7">
        <w:t xml:space="preserve"> increased capacity to meet the need</w:t>
      </w:r>
      <w:r w:rsidR="00A5295E">
        <w:t>s</w:t>
      </w:r>
      <w:r w:rsidR="00C20CC7">
        <w:t xml:space="preserve"> of their students.</w:t>
      </w:r>
      <w:r w:rsidR="00A5295E">
        <w:t xml:space="preserve"> </w:t>
      </w:r>
      <w:r w:rsidR="00094D6A">
        <w:t>Some COEs also use</w:t>
      </w:r>
      <w:r w:rsidR="00672DBF">
        <w:t>d</w:t>
      </w:r>
      <w:r w:rsidR="00094D6A">
        <w:t xml:space="preserve"> the </w:t>
      </w:r>
      <w:r w:rsidR="003D2FB7">
        <w:t>pre-service</w:t>
      </w:r>
      <w:r w:rsidR="00094D6A">
        <w:t xml:space="preserve"> candidates completing methods courses at the laboratory school</w:t>
      </w:r>
      <w:r w:rsidR="007F79CB">
        <w:t xml:space="preserve"> as a pool for selecting student</w:t>
      </w:r>
      <w:r w:rsidR="00672DBF">
        <w:t>s to have</w:t>
      </w:r>
      <w:r w:rsidR="007F79CB">
        <w:t xml:space="preserve"> teaching internships at the laboratory school. Though COEs generally do not have a systematic way to engage all COE faculty with the laboratory schools, they work</w:t>
      </w:r>
      <w:r w:rsidR="00672DBF">
        <w:t>ed</w:t>
      </w:r>
      <w:r w:rsidR="007F79CB">
        <w:t xml:space="preserve"> to increase the number of faculty who have onsite engagement with laboratory school staff.</w:t>
      </w:r>
    </w:p>
    <w:p w14:paraId="0D348937" w14:textId="77777777" w:rsidR="00094D6A" w:rsidRDefault="00094D6A" w:rsidP="00C20CC7">
      <w:pPr>
        <w:spacing w:after="0" w:line="240" w:lineRule="auto"/>
        <w:jc w:val="both"/>
      </w:pPr>
    </w:p>
    <w:p w14:paraId="2CAE97E1" w14:textId="38273B06" w:rsidR="0032092B" w:rsidRDefault="001F21E4" w:rsidP="005A60F1">
      <w:pPr>
        <w:spacing w:after="0" w:line="240" w:lineRule="auto"/>
        <w:rPr>
          <w:i/>
        </w:rPr>
      </w:pPr>
      <w:r>
        <w:rPr>
          <w:i/>
        </w:rPr>
        <w:t>Pre-service</w:t>
      </w:r>
      <w:r w:rsidR="005A60F1" w:rsidRPr="00B52871">
        <w:rPr>
          <w:i/>
        </w:rPr>
        <w:t xml:space="preserve"> candidates</w:t>
      </w:r>
    </w:p>
    <w:p w14:paraId="5D20C9BC" w14:textId="4DE80D88" w:rsidR="0032092B" w:rsidRDefault="0032092B" w:rsidP="005A60F1">
      <w:pPr>
        <w:spacing w:after="0" w:line="240" w:lineRule="auto"/>
        <w:rPr>
          <w:iCs/>
        </w:rPr>
      </w:pPr>
    </w:p>
    <w:p w14:paraId="211AF957" w14:textId="2D6CC1D6" w:rsidR="001C64C0" w:rsidRDefault="009153B3" w:rsidP="00D74CED">
      <w:pPr>
        <w:spacing w:after="0" w:line="240" w:lineRule="auto"/>
        <w:jc w:val="both"/>
        <w:rPr>
          <w:iCs/>
        </w:rPr>
      </w:pPr>
      <w:r>
        <w:rPr>
          <w:iCs/>
        </w:rPr>
        <w:t xml:space="preserve">In 2019-20, COEs provided </w:t>
      </w:r>
      <w:r w:rsidR="003D2FB7">
        <w:rPr>
          <w:iCs/>
        </w:rPr>
        <w:t>pre-service</w:t>
      </w:r>
      <w:r w:rsidRPr="00DD3ACB">
        <w:rPr>
          <w:iCs/>
        </w:rPr>
        <w:t xml:space="preserve"> candidates </w:t>
      </w:r>
      <w:r>
        <w:rPr>
          <w:iCs/>
        </w:rPr>
        <w:t xml:space="preserve">two </w:t>
      </w:r>
      <w:r w:rsidR="00467017">
        <w:rPr>
          <w:iCs/>
        </w:rPr>
        <w:t>primary ways</w:t>
      </w:r>
      <w:r>
        <w:rPr>
          <w:iCs/>
        </w:rPr>
        <w:t xml:space="preserve"> for </w:t>
      </w:r>
      <w:r w:rsidRPr="00DD3ACB">
        <w:rPr>
          <w:iCs/>
        </w:rPr>
        <w:t>engag</w:t>
      </w:r>
      <w:r>
        <w:rPr>
          <w:iCs/>
        </w:rPr>
        <w:t>ing</w:t>
      </w:r>
      <w:r w:rsidRPr="00DD3ACB">
        <w:rPr>
          <w:iCs/>
        </w:rPr>
        <w:t xml:space="preserve"> in laboratory school</w:t>
      </w:r>
      <w:r>
        <w:rPr>
          <w:iCs/>
        </w:rPr>
        <w:t>s</w:t>
      </w:r>
      <w:r w:rsidR="003412BC">
        <w:rPr>
          <w:iCs/>
        </w:rPr>
        <w:t>.</w:t>
      </w:r>
      <w:r w:rsidR="00D74CED">
        <w:rPr>
          <w:iCs/>
        </w:rPr>
        <w:t xml:space="preserve"> Junior year candidates in methods and practicum courses conducted observations, diagnostics, and assessments; provided individual tutoring and small group support/instruction; and assisted with instruction</w:t>
      </w:r>
      <w:r w:rsidR="00672DBF">
        <w:rPr>
          <w:iCs/>
        </w:rPr>
        <w:t xml:space="preserve"> or instruction</w:t>
      </w:r>
      <w:r w:rsidR="00D74CED">
        <w:rPr>
          <w:iCs/>
        </w:rPr>
        <w:t xml:space="preserve">al interventions. </w:t>
      </w:r>
      <w:r w:rsidR="00D74CED" w:rsidRPr="003412BC">
        <w:rPr>
          <w:iCs/>
        </w:rPr>
        <w:t xml:space="preserve">Senior year </w:t>
      </w:r>
      <w:r w:rsidR="003D2FB7">
        <w:rPr>
          <w:iCs/>
        </w:rPr>
        <w:t>pre-service</w:t>
      </w:r>
      <w:r w:rsidR="00D74CED">
        <w:rPr>
          <w:iCs/>
        </w:rPr>
        <w:t xml:space="preserve"> candidates had clinical</w:t>
      </w:r>
      <w:r w:rsidR="00D74CED" w:rsidRPr="003412BC">
        <w:rPr>
          <w:iCs/>
        </w:rPr>
        <w:t xml:space="preserve"> experiences</w:t>
      </w:r>
      <w:r w:rsidR="00D74CED">
        <w:rPr>
          <w:iCs/>
        </w:rPr>
        <w:t xml:space="preserve"> as either interns (Intern I) or student teachers</w:t>
      </w:r>
      <w:r w:rsidR="00C6434B">
        <w:rPr>
          <w:iCs/>
        </w:rPr>
        <w:t xml:space="preserve"> (intern II)</w:t>
      </w:r>
      <w:r w:rsidR="00D74CED">
        <w:rPr>
          <w:iCs/>
        </w:rPr>
        <w:t xml:space="preserve">. </w:t>
      </w:r>
      <w:r w:rsidR="003D2FB7">
        <w:rPr>
          <w:iCs/>
        </w:rPr>
        <w:t>Pre-service</w:t>
      </w:r>
      <w:r w:rsidR="00C6434B">
        <w:rPr>
          <w:iCs/>
        </w:rPr>
        <w:t xml:space="preserve"> candidates in intern I experiences</w:t>
      </w:r>
      <w:r w:rsidR="00D74CED" w:rsidRPr="003412BC">
        <w:rPr>
          <w:iCs/>
        </w:rPr>
        <w:t xml:space="preserve"> </w:t>
      </w:r>
      <w:r w:rsidR="00D74CED" w:rsidRPr="003412BC">
        <w:rPr>
          <w:iCs/>
        </w:rPr>
        <w:lastRenderedPageBreak/>
        <w:t xml:space="preserve">typically </w:t>
      </w:r>
      <w:r w:rsidR="00D74CED">
        <w:rPr>
          <w:iCs/>
        </w:rPr>
        <w:t xml:space="preserve">spent </w:t>
      </w:r>
      <w:r w:rsidR="001C64C0">
        <w:rPr>
          <w:iCs/>
        </w:rPr>
        <w:t xml:space="preserve">one or two days, per week, shadowing, observing, or supporting a laboratory </w:t>
      </w:r>
      <w:proofErr w:type="gramStart"/>
      <w:r w:rsidR="001C64C0">
        <w:rPr>
          <w:iCs/>
        </w:rPr>
        <w:t>school teacher</w:t>
      </w:r>
      <w:proofErr w:type="gramEnd"/>
      <w:r w:rsidR="001C64C0">
        <w:rPr>
          <w:iCs/>
        </w:rPr>
        <w:t xml:space="preserve"> over the course of a semester. Student teachers </w:t>
      </w:r>
      <w:r w:rsidR="00672DBF">
        <w:rPr>
          <w:iCs/>
        </w:rPr>
        <w:t xml:space="preserve">spent </w:t>
      </w:r>
      <w:r w:rsidR="001C64C0">
        <w:rPr>
          <w:iCs/>
        </w:rPr>
        <w:t xml:space="preserve">every day of the week, over the course of a semester, working with the laboratory </w:t>
      </w:r>
      <w:proofErr w:type="gramStart"/>
      <w:r w:rsidR="001C64C0">
        <w:rPr>
          <w:iCs/>
        </w:rPr>
        <w:t>school teacher</w:t>
      </w:r>
      <w:proofErr w:type="gramEnd"/>
      <w:r w:rsidR="001C64C0">
        <w:rPr>
          <w:iCs/>
        </w:rPr>
        <w:t xml:space="preserve"> to plan and lead classroom instruction and </w:t>
      </w:r>
      <w:r w:rsidR="008C6483">
        <w:rPr>
          <w:iCs/>
        </w:rPr>
        <w:t xml:space="preserve">to </w:t>
      </w:r>
      <w:r w:rsidR="001C64C0">
        <w:rPr>
          <w:iCs/>
        </w:rPr>
        <w:t>support students one-on-one or in small groups. Student teachers also participate</w:t>
      </w:r>
      <w:r w:rsidR="00672DBF">
        <w:rPr>
          <w:iCs/>
        </w:rPr>
        <w:t>d</w:t>
      </w:r>
      <w:r w:rsidR="001C64C0">
        <w:rPr>
          <w:iCs/>
        </w:rPr>
        <w:t xml:space="preserve"> in staff meetings and professional development for laboratory school faculty.</w:t>
      </w:r>
    </w:p>
    <w:p w14:paraId="757715EB" w14:textId="77777777" w:rsidR="001C64C0" w:rsidRDefault="001C64C0" w:rsidP="00D74CED">
      <w:pPr>
        <w:spacing w:after="0" w:line="240" w:lineRule="auto"/>
        <w:jc w:val="both"/>
        <w:rPr>
          <w:iCs/>
        </w:rPr>
      </w:pPr>
    </w:p>
    <w:p w14:paraId="70AEC164" w14:textId="6150289A" w:rsidR="00C360C7" w:rsidRDefault="003D2FB7" w:rsidP="00D74CED">
      <w:pPr>
        <w:spacing w:after="0" w:line="240" w:lineRule="auto"/>
        <w:jc w:val="both"/>
      </w:pPr>
      <w:r>
        <w:t>Pre-service</w:t>
      </w:r>
      <w:r w:rsidR="00D74CED">
        <w:t xml:space="preserve"> candidates worked under the direction of a laboratory </w:t>
      </w:r>
      <w:proofErr w:type="gramStart"/>
      <w:r w:rsidR="00D74CED">
        <w:t>school teacher</w:t>
      </w:r>
      <w:proofErr w:type="gramEnd"/>
      <w:r w:rsidR="00D74CED">
        <w:t xml:space="preserve"> and COE clinical supervisor. At some laboratory schools, instructors who teach junior year methods courses also supervise senior year </w:t>
      </w:r>
      <w:r w:rsidR="008C6483">
        <w:t>interns/student teachers</w:t>
      </w:r>
      <w:r w:rsidR="00D74CED">
        <w:t>. In theory</w:t>
      </w:r>
      <w:r w:rsidR="001C64C0">
        <w:t>,</w:t>
      </w:r>
      <w:r w:rsidR="00D74CED">
        <w:t xml:space="preserve"> this practice enhances continuity in methods instruction</w:t>
      </w:r>
      <w:r w:rsidR="001C64C0">
        <w:t>,</w:t>
      </w:r>
      <w:r w:rsidR="00D74CED">
        <w:t xml:space="preserve"> particularly when methods instructors hold their courses onsite at the laboratory </w:t>
      </w:r>
      <w:proofErr w:type="gramStart"/>
      <w:r w:rsidR="00D74CED">
        <w:t>school</w:t>
      </w:r>
      <w:r w:rsidR="00C360C7">
        <w:t>, and</w:t>
      </w:r>
      <w:proofErr w:type="gramEnd"/>
      <w:r w:rsidR="00C360C7">
        <w:t xml:space="preserve"> increases interaction </w:t>
      </w:r>
      <w:r w:rsidR="008C6483">
        <w:t>between clinical educators and</w:t>
      </w:r>
      <w:r w:rsidR="00C360C7">
        <w:t xml:space="preserve"> laboratory school students and staff.</w:t>
      </w:r>
    </w:p>
    <w:p w14:paraId="2CD594A8" w14:textId="18B4C986" w:rsidR="00166FF7" w:rsidRDefault="00166FF7" w:rsidP="00D74CED">
      <w:pPr>
        <w:spacing w:after="0" w:line="240" w:lineRule="auto"/>
        <w:jc w:val="both"/>
      </w:pPr>
    </w:p>
    <w:p w14:paraId="2BFC06EF" w14:textId="564CCE9A" w:rsidR="00166FF7" w:rsidRDefault="00166FF7" w:rsidP="00166FF7">
      <w:pPr>
        <w:spacing w:after="0" w:line="240" w:lineRule="auto"/>
        <w:jc w:val="both"/>
        <w:rPr>
          <w:iCs/>
        </w:rPr>
      </w:pPr>
      <w:r>
        <w:rPr>
          <w:iCs/>
        </w:rPr>
        <w:t>COEs</w:t>
      </w:r>
      <w:r w:rsidRPr="00656C31">
        <w:rPr>
          <w:iCs/>
        </w:rPr>
        <w:t xml:space="preserve"> are using </w:t>
      </w:r>
      <w:r>
        <w:rPr>
          <w:iCs/>
        </w:rPr>
        <w:t>several</w:t>
      </w:r>
      <w:r w:rsidRPr="00656C31">
        <w:rPr>
          <w:iCs/>
        </w:rPr>
        <w:t xml:space="preserve"> criteria to </w:t>
      </w:r>
      <w:r>
        <w:rPr>
          <w:iCs/>
        </w:rPr>
        <w:t xml:space="preserve">select </w:t>
      </w:r>
      <w:r w:rsidR="003D2FB7">
        <w:rPr>
          <w:iCs/>
        </w:rPr>
        <w:t>pre-service</w:t>
      </w:r>
      <w:r>
        <w:rPr>
          <w:iCs/>
        </w:rPr>
        <w:t xml:space="preserve"> candidates for cl</w:t>
      </w:r>
      <w:r w:rsidRPr="00656C31">
        <w:rPr>
          <w:iCs/>
        </w:rPr>
        <w:t>inical experiences at laboratory school</w:t>
      </w:r>
      <w:r>
        <w:rPr>
          <w:iCs/>
        </w:rPr>
        <w:t xml:space="preserve">s. Generally, COEs select </w:t>
      </w:r>
      <w:r w:rsidR="003D2FB7">
        <w:rPr>
          <w:iCs/>
        </w:rPr>
        <w:t>pre-service</w:t>
      </w:r>
      <w:r>
        <w:rPr>
          <w:iCs/>
        </w:rPr>
        <w:t xml:space="preserve"> candidates for clinical experiences based on their major and interest in working with diverse student populations. COEs rely on methods and practicum courses—offered in the junior year—as a way to expose more </w:t>
      </w:r>
      <w:r w:rsidR="003D2FB7">
        <w:rPr>
          <w:iCs/>
        </w:rPr>
        <w:t>pre-service</w:t>
      </w:r>
      <w:r>
        <w:rPr>
          <w:iCs/>
        </w:rPr>
        <w:t xml:space="preserve"> candidates to the laboratory school model. Laboratory schools use methods classes as candidate pools to select student teachers.</w:t>
      </w:r>
    </w:p>
    <w:p w14:paraId="5B9ECC8D" w14:textId="761A188F" w:rsidR="00992C0A" w:rsidRDefault="00992C0A" w:rsidP="00166FF7">
      <w:pPr>
        <w:spacing w:after="0" w:line="240" w:lineRule="auto"/>
        <w:jc w:val="both"/>
        <w:rPr>
          <w:iCs/>
        </w:rPr>
      </w:pPr>
    </w:p>
    <w:p w14:paraId="6E352E7A" w14:textId="2449CCF2" w:rsidR="007F79CB" w:rsidRDefault="00D74CED" w:rsidP="00C360C7">
      <w:pPr>
        <w:spacing w:after="0" w:line="240" w:lineRule="auto"/>
        <w:jc w:val="both"/>
        <w:rPr>
          <w:rFonts w:cstheme="minorHAnsi"/>
          <w:i/>
        </w:rPr>
      </w:pPr>
      <w:r>
        <w:t xml:space="preserve"> </w:t>
      </w:r>
      <w:r w:rsidR="007F79CB">
        <w:rPr>
          <w:rFonts w:cstheme="minorHAnsi"/>
          <w:i/>
        </w:rPr>
        <w:t>Table 8: Clinical Experiences in Laboratory Schools for Educator Preparation Program Candidates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95"/>
        <w:gridCol w:w="2340"/>
        <w:gridCol w:w="1440"/>
        <w:gridCol w:w="1975"/>
      </w:tblGrid>
      <w:tr w:rsidR="007F79CB" w14:paraId="70F95702" w14:textId="77777777" w:rsidTr="007F79CB">
        <w:tc>
          <w:tcPr>
            <w:tcW w:w="3595" w:type="dxa"/>
            <w:shd w:val="clear" w:color="auto" w:fill="F2F2F2" w:themeFill="background1" w:themeFillShade="F2"/>
            <w:vAlign w:val="center"/>
          </w:tcPr>
          <w:p w14:paraId="0944EE0B" w14:textId="77777777" w:rsidR="007F79CB" w:rsidRPr="004D6CA2" w:rsidRDefault="007F79CB" w:rsidP="007F79CB">
            <w:pPr>
              <w:jc w:val="center"/>
              <w:rPr>
                <w:rFonts w:cstheme="minorHAnsi"/>
                <w:sz w:val="20"/>
              </w:rPr>
            </w:pPr>
            <w:r>
              <w:rPr>
                <w:rFonts w:cstheme="minorHAnsi"/>
                <w:sz w:val="20"/>
              </w:rPr>
              <w:t>Program/Licensure Areas</w:t>
            </w:r>
          </w:p>
        </w:tc>
        <w:tc>
          <w:tcPr>
            <w:tcW w:w="2340" w:type="dxa"/>
            <w:shd w:val="clear" w:color="auto" w:fill="F2F2F2" w:themeFill="background1" w:themeFillShade="F2"/>
            <w:vAlign w:val="center"/>
          </w:tcPr>
          <w:p w14:paraId="346CC8E1" w14:textId="77777777" w:rsidR="007F79CB" w:rsidRPr="004D6CA2" w:rsidRDefault="007F79CB" w:rsidP="007F79CB">
            <w:pPr>
              <w:jc w:val="center"/>
              <w:rPr>
                <w:rFonts w:cstheme="minorHAnsi"/>
                <w:sz w:val="20"/>
              </w:rPr>
            </w:pPr>
            <w:r>
              <w:rPr>
                <w:rFonts w:cstheme="minorHAnsi"/>
                <w:sz w:val="20"/>
              </w:rPr>
              <w:t>Early Field Experiences</w:t>
            </w:r>
          </w:p>
        </w:tc>
        <w:tc>
          <w:tcPr>
            <w:tcW w:w="1440" w:type="dxa"/>
            <w:shd w:val="clear" w:color="auto" w:fill="F2F2F2" w:themeFill="background1" w:themeFillShade="F2"/>
            <w:vAlign w:val="center"/>
          </w:tcPr>
          <w:p w14:paraId="4C633202" w14:textId="77777777" w:rsidR="007F79CB" w:rsidRPr="004D6CA2" w:rsidRDefault="007F79CB" w:rsidP="007F79CB">
            <w:pPr>
              <w:jc w:val="center"/>
              <w:rPr>
                <w:rFonts w:cstheme="minorHAnsi"/>
                <w:sz w:val="20"/>
              </w:rPr>
            </w:pPr>
            <w:r>
              <w:rPr>
                <w:rFonts w:cstheme="minorHAnsi"/>
                <w:sz w:val="20"/>
              </w:rPr>
              <w:t>Intern I</w:t>
            </w:r>
          </w:p>
        </w:tc>
        <w:tc>
          <w:tcPr>
            <w:tcW w:w="1975" w:type="dxa"/>
            <w:shd w:val="clear" w:color="auto" w:fill="F2F2F2" w:themeFill="background1" w:themeFillShade="F2"/>
            <w:vAlign w:val="center"/>
          </w:tcPr>
          <w:p w14:paraId="14826181" w14:textId="77777777" w:rsidR="007F79CB" w:rsidRDefault="007F79CB" w:rsidP="007F79CB">
            <w:pPr>
              <w:jc w:val="center"/>
              <w:rPr>
                <w:rFonts w:cstheme="minorHAnsi"/>
                <w:sz w:val="20"/>
              </w:rPr>
            </w:pPr>
            <w:r>
              <w:rPr>
                <w:rFonts w:cstheme="minorHAnsi"/>
                <w:sz w:val="20"/>
              </w:rPr>
              <w:t xml:space="preserve">Intern II </w:t>
            </w:r>
          </w:p>
          <w:p w14:paraId="68E33F1E" w14:textId="77777777" w:rsidR="007F79CB" w:rsidRPr="004D6CA2" w:rsidRDefault="007F79CB" w:rsidP="007F79CB">
            <w:pPr>
              <w:jc w:val="center"/>
              <w:rPr>
                <w:rFonts w:cstheme="minorHAnsi"/>
                <w:sz w:val="20"/>
              </w:rPr>
            </w:pPr>
            <w:r>
              <w:rPr>
                <w:rFonts w:cstheme="minorHAnsi"/>
                <w:sz w:val="20"/>
              </w:rPr>
              <w:t>(Full-time student teaching)</w:t>
            </w:r>
          </w:p>
        </w:tc>
      </w:tr>
      <w:tr w:rsidR="007F79CB" w14:paraId="19C08D9F" w14:textId="77777777" w:rsidTr="007F79CB">
        <w:tc>
          <w:tcPr>
            <w:tcW w:w="9350" w:type="dxa"/>
            <w:gridSpan w:val="4"/>
            <w:vAlign w:val="center"/>
          </w:tcPr>
          <w:p w14:paraId="288BE442" w14:textId="40550702" w:rsidR="007F79CB" w:rsidRPr="004D6CA2" w:rsidRDefault="001F3642" w:rsidP="007F79CB">
            <w:pPr>
              <w:jc w:val="center"/>
              <w:rPr>
                <w:rFonts w:cstheme="minorHAnsi"/>
                <w:i/>
                <w:sz w:val="20"/>
              </w:rPr>
            </w:pPr>
            <w:r>
              <w:rPr>
                <w:rFonts w:cstheme="minorHAnsi"/>
                <w:i/>
                <w:sz w:val="20"/>
              </w:rPr>
              <w:t>Academy at Middle Fork</w:t>
            </w:r>
            <w:r w:rsidR="00992C0A">
              <w:rPr>
                <w:rFonts w:cstheme="minorHAnsi"/>
                <w:i/>
                <w:sz w:val="20"/>
              </w:rPr>
              <w:t xml:space="preserve"> (Appalachian State)</w:t>
            </w:r>
          </w:p>
        </w:tc>
      </w:tr>
      <w:tr w:rsidR="007F79CB" w14:paraId="7667CCBB" w14:textId="77777777" w:rsidTr="007F79CB">
        <w:tc>
          <w:tcPr>
            <w:tcW w:w="3595" w:type="dxa"/>
          </w:tcPr>
          <w:p w14:paraId="0B05D7D8" w14:textId="77777777" w:rsidR="007F79CB" w:rsidRPr="004D6CA2" w:rsidRDefault="007F79CB" w:rsidP="007F79CB">
            <w:pPr>
              <w:jc w:val="right"/>
              <w:rPr>
                <w:rFonts w:cstheme="minorHAnsi"/>
                <w:sz w:val="20"/>
              </w:rPr>
            </w:pPr>
            <w:r>
              <w:rPr>
                <w:rFonts w:cstheme="minorHAnsi"/>
                <w:sz w:val="20"/>
              </w:rPr>
              <w:t>Elementary Education</w:t>
            </w:r>
          </w:p>
        </w:tc>
        <w:tc>
          <w:tcPr>
            <w:tcW w:w="2340" w:type="dxa"/>
            <w:vAlign w:val="center"/>
          </w:tcPr>
          <w:p w14:paraId="7A362D17" w14:textId="5BCD8B33" w:rsidR="007F79CB" w:rsidRPr="004D6CA2" w:rsidRDefault="007F79CB" w:rsidP="007F79CB">
            <w:pPr>
              <w:jc w:val="center"/>
              <w:rPr>
                <w:rFonts w:cstheme="minorHAnsi"/>
                <w:sz w:val="20"/>
              </w:rPr>
            </w:pPr>
            <w:r>
              <w:rPr>
                <w:rFonts w:cstheme="minorHAnsi"/>
                <w:sz w:val="20"/>
              </w:rPr>
              <w:t>1</w:t>
            </w:r>
          </w:p>
        </w:tc>
        <w:tc>
          <w:tcPr>
            <w:tcW w:w="1440" w:type="dxa"/>
            <w:vAlign w:val="center"/>
          </w:tcPr>
          <w:p w14:paraId="0B6CD155" w14:textId="776207DA" w:rsidR="007F79CB" w:rsidRPr="004D6CA2" w:rsidRDefault="007F79CB" w:rsidP="007F79CB">
            <w:pPr>
              <w:jc w:val="center"/>
              <w:rPr>
                <w:rFonts w:cstheme="minorHAnsi"/>
                <w:sz w:val="20"/>
              </w:rPr>
            </w:pPr>
            <w:r>
              <w:rPr>
                <w:rFonts w:cstheme="minorHAnsi"/>
                <w:sz w:val="20"/>
              </w:rPr>
              <w:t>1</w:t>
            </w:r>
          </w:p>
        </w:tc>
        <w:tc>
          <w:tcPr>
            <w:tcW w:w="1975" w:type="dxa"/>
            <w:vAlign w:val="center"/>
          </w:tcPr>
          <w:p w14:paraId="68A754A9" w14:textId="06D43EB8" w:rsidR="007F79CB" w:rsidRPr="004D6CA2" w:rsidRDefault="007F79CB" w:rsidP="007F79CB">
            <w:pPr>
              <w:jc w:val="center"/>
              <w:rPr>
                <w:rFonts w:cstheme="minorHAnsi"/>
                <w:sz w:val="20"/>
              </w:rPr>
            </w:pPr>
            <w:r>
              <w:rPr>
                <w:rFonts w:cstheme="minorHAnsi"/>
                <w:sz w:val="20"/>
              </w:rPr>
              <w:t>0</w:t>
            </w:r>
          </w:p>
        </w:tc>
      </w:tr>
      <w:tr w:rsidR="007F79CB" w14:paraId="2E026504" w14:textId="77777777" w:rsidTr="007F79CB">
        <w:tc>
          <w:tcPr>
            <w:tcW w:w="9350" w:type="dxa"/>
            <w:gridSpan w:val="4"/>
            <w:vAlign w:val="center"/>
          </w:tcPr>
          <w:p w14:paraId="59806729" w14:textId="3C174BF4" w:rsidR="007F79CB" w:rsidRPr="004D6CA2" w:rsidRDefault="001F3642" w:rsidP="007F79CB">
            <w:pPr>
              <w:jc w:val="center"/>
              <w:rPr>
                <w:rFonts w:cstheme="minorHAnsi"/>
                <w:i/>
                <w:sz w:val="20"/>
              </w:rPr>
            </w:pPr>
            <w:r>
              <w:rPr>
                <w:rFonts w:cstheme="minorHAnsi"/>
                <w:i/>
                <w:sz w:val="20"/>
              </w:rPr>
              <w:t>ECU Community School</w:t>
            </w:r>
          </w:p>
        </w:tc>
      </w:tr>
      <w:tr w:rsidR="007F79CB" w14:paraId="03DB70F3" w14:textId="77777777" w:rsidTr="007F79CB">
        <w:tc>
          <w:tcPr>
            <w:tcW w:w="3595" w:type="dxa"/>
            <w:vAlign w:val="center"/>
          </w:tcPr>
          <w:p w14:paraId="2CEA0B1E" w14:textId="77777777" w:rsidR="007F79CB" w:rsidRPr="004D6CA2" w:rsidRDefault="007F79CB" w:rsidP="007F79CB">
            <w:pPr>
              <w:jc w:val="right"/>
              <w:rPr>
                <w:rFonts w:cstheme="minorHAnsi"/>
                <w:sz w:val="20"/>
              </w:rPr>
            </w:pPr>
            <w:r>
              <w:rPr>
                <w:rFonts w:cstheme="minorHAnsi"/>
                <w:sz w:val="20"/>
              </w:rPr>
              <w:t>Elementary Education</w:t>
            </w:r>
          </w:p>
        </w:tc>
        <w:tc>
          <w:tcPr>
            <w:tcW w:w="2340" w:type="dxa"/>
            <w:vAlign w:val="center"/>
          </w:tcPr>
          <w:p w14:paraId="29B94E60" w14:textId="3687222E" w:rsidR="007F79CB" w:rsidRPr="004D6CA2" w:rsidRDefault="00B13B06" w:rsidP="007F79CB">
            <w:pPr>
              <w:jc w:val="center"/>
              <w:rPr>
                <w:rFonts w:cstheme="minorHAnsi"/>
                <w:sz w:val="20"/>
              </w:rPr>
            </w:pPr>
            <w:r>
              <w:rPr>
                <w:rFonts w:cstheme="minorHAnsi"/>
                <w:sz w:val="20"/>
              </w:rPr>
              <w:t>46</w:t>
            </w:r>
          </w:p>
        </w:tc>
        <w:tc>
          <w:tcPr>
            <w:tcW w:w="1440" w:type="dxa"/>
            <w:vAlign w:val="center"/>
          </w:tcPr>
          <w:p w14:paraId="45006F7F" w14:textId="51EC4870" w:rsidR="007F79CB" w:rsidRPr="004D6CA2" w:rsidRDefault="00B13B06" w:rsidP="007F79CB">
            <w:pPr>
              <w:jc w:val="center"/>
              <w:rPr>
                <w:rFonts w:cstheme="minorHAnsi"/>
                <w:sz w:val="20"/>
              </w:rPr>
            </w:pPr>
            <w:r>
              <w:rPr>
                <w:rFonts w:cstheme="minorHAnsi"/>
                <w:sz w:val="20"/>
              </w:rPr>
              <w:t>0</w:t>
            </w:r>
          </w:p>
        </w:tc>
        <w:tc>
          <w:tcPr>
            <w:tcW w:w="1975" w:type="dxa"/>
            <w:vAlign w:val="center"/>
          </w:tcPr>
          <w:p w14:paraId="3CC244F0" w14:textId="5652B214" w:rsidR="007F79CB" w:rsidRPr="004D6CA2" w:rsidRDefault="00B13B06" w:rsidP="007F79CB">
            <w:pPr>
              <w:jc w:val="center"/>
              <w:rPr>
                <w:rFonts w:cstheme="minorHAnsi"/>
                <w:sz w:val="20"/>
              </w:rPr>
            </w:pPr>
            <w:r>
              <w:rPr>
                <w:rFonts w:cstheme="minorHAnsi"/>
                <w:sz w:val="20"/>
              </w:rPr>
              <w:t>1</w:t>
            </w:r>
          </w:p>
        </w:tc>
      </w:tr>
      <w:tr w:rsidR="007F79CB" w14:paraId="0BFB35A3" w14:textId="77777777" w:rsidTr="007F79CB">
        <w:tc>
          <w:tcPr>
            <w:tcW w:w="3595" w:type="dxa"/>
            <w:vAlign w:val="center"/>
          </w:tcPr>
          <w:p w14:paraId="1488D1E1" w14:textId="77777777" w:rsidR="007F79CB" w:rsidRPr="004D6CA2" w:rsidRDefault="007F79CB" w:rsidP="007F79CB">
            <w:pPr>
              <w:jc w:val="right"/>
              <w:rPr>
                <w:rFonts w:cstheme="minorHAnsi"/>
                <w:sz w:val="20"/>
              </w:rPr>
            </w:pPr>
            <w:r>
              <w:rPr>
                <w:rFonts w:cstheme="minorHAnsi"/>
                <w:sz w:val="20"/>
              </w:rPr>
              <w:t>Birth-to-Kindergarten</w:t>
            </w:r>
          </w:p>
        </w:tc>
        <w:tc>
          <w:tcPr>
            <w:tcW w:w="2340" w:type="dxa"/>
            <w:vAlign w:val="center"/>
          </w:tcPr>
          <w:p w14:paraId="5FE84FAC" w14:textId="793719F8" w:rsidR="007F79CB" w:rsidRPr="004D6CA2" w:rsidRDefault="00B13B06" w:rsidP="007F79CB">
            <w:pPr>
              <w:jc w:val="center"/>
              <w:rPr>
                <w:rFonts w:cstheme="minorHAnsi"/>
                <w:sz w:val="20"/>
              </w:rPr>
            </w:pPr>
            <w:r>
              <w:rPr>
                <w:rFonts w:cstheme="minorHAnsi"/>
                <w:sz w:val="20"/>
              </w:rPr>
              <w:t>0</w:t>
            </w:r>
          </w:p>
        </w:tc>
        <w:tc>
          <w:tcPr>
            <w:tcW w:w="1440" w:type="dxa"/>
            <w:vAlign w:val="center"/>
          </w:tcPr>
          <w:p w14:paraId="6E455665" w14:textId="70A3C893" w:rsidR="007F79CB" w:rsidRPr="004D6CA2" w:rsidRDefault="00B13B06" w:rsidP="007F79CB">
            <w:pPr>
              <w:jc w:val="center"/>
              <w:rPr>
                <w:rFonts w:cstheme="minorHAnsi"/>
                <w:sz w:val="20"/>
              </w:rPr>
            </w:pPr>
            <w:r>
              <w:rPr>
                <w:rFonts w:cstheme="minorHAnsi"/>
                <w:sz w:val="20"/>
              </w:rPr>
              <w:t>0</w:t>
            </w:r>
          </w:p>
        </w:tc>
        <w:tc>
          <w:tcPr>
            <w:tcW w:w="1975" w:type="dxa"/>
            <w:vAlign w:val="center"/>
          </w:tcPr>
          <w:p w14:paraId="75104385" w14:textId="3D867AB7" w:rsidR="007F79CB" w:rsidRPr="00DA4FBA" w:rsidRDefault="00B13B06" w:rsidP="007F79CB">
            <w:pPr>
              <w:jc w:val="center"/>
              <w:rPr>
                <w:rFonts w:cstheme="minorHAnsi"/>
                <w:sz w:val="20"/>
              </w:rPr>
            </w:pPr>
            <w:r>
              <w:rPr>
                <w:rFonts w:cstheme="minorHAnsi"/>
                <w:sz w:val="20"/>
              </w:rPr>
              <w:t>1</w:t>
            </w:r>
          </w:p>
        </w:tc>
      </w:tr>
      <w:tr w:rsidR="007F79CB" w14:paraId="419D58A5" w14:textId="77777777" w:rsidTr="007F79CB">
        <w:tc>
          <w:tcPr>
            <w:tcW w:w="9350" w:type="dxa"/>
            <w:gridSpan w:val="4"/>
            <w:vAlign w:val="center"/>
          </w:tcPr>
          <w:p w14:paraId="75290478" w14:textId="7D9E79A1" w:rsidR="007F79CB" w:rsidRPr="00C25780" w:rsidRDefault="001F3642" w:rsidP="007F79CB">
            <w:pPr>
              <w:jc w:val="center"/>
              <w:rPr>
                <w:rFonts w:cstheme="minorHAnsi"/>
                <w:i/>
                <w:sz w:val="20"/>
              </w:rPr>
            </w:pPr>
            <w:r>
              <w:rPr>
                <w:rFonts w:cstheme="minorHAnsi"/>
                <w:i/>
                <w:sz w:val="20"/>
              </w:rPr>
              <w:t>Moss Street Partnership School (UNCG)</w:t>
            </w:r>
          </w:p>
        </w:tc>
      </w:tr>
      <w:tr w:rsidR="007F79CB" w14:paraId="2CB13183" w14:textId="77777777" w:rsidTr="007F79CB">
        <w:tc>
          <w:tcPr>
            <w:tcW w:w="3595" w:type="dxa"/>
            <w:vAlign w:val="center"/>
          </w:tcPr>
          <w:p w14:paraId="4C5E7EE4" w14:textId="77777777" w:rsidR="007F79CB" w:rsidRPr="004D6CA2" w:rsidRDefault="007F79CB" w:rsidP="007F79CB">
            <w:pPr>
              <w:jc w:val="right"/>
              <w:rPr>
                <w:rFonts w:cstheme="minorHAnsi"/>
                <w:sz w:val="20"/>
              </w:rPr>
            </w:pPr>
            <w:r>
              <w:rPr>
                <w:rFonts w:cstheme="minorHAnsi"/>
                <w:sz w:val="20"/>
              </w:rPr>
              <w:t xml:space="preserve">Elementary Education </w:t>
            </w:r>
          </w:p>
        </w:tc>
        <w:tc>
          <w:tcPr>
            <w:tcW w:w="2340" w:type="dxa"/>
            <w:vAlign w:val="center"/>
          </w:tcPr>
          <w:p w14:paraId="6036DF92" w14:textId="18D1DD3A" w:rsidR="007F79CB" w:rsidRPr="004D6CA2" w:rsidRDefault="007F79CB" w:rsidP="007F79CB">
            <w:pPr>
              <w:jc w:val="center"/>
              <w:rPr>
                <w:rFonts w:cstheme="minorHAnsi"/>
                <w:sz w:val="20"/>
              </w:rPr>
            </w:pPr>
            <w:r>
              <w:rPr>
                <w:rFonts w:cstheme="minorHAnsi"/>
                <w:sz w:val="20"/>
              </w:rPr>
              <w:t>16</w:t>
            </w:r>
          </w:p>
        </w:tc>
        <w:tc>
          <w:tcPr>
            <w:tcW w:w="1440" w:type="dxa"/>
            <w:vAlign w:val="center"/>
          </w:tcPr>
          <w:p w14:paraId="342BCFB6" w14:textId="0FE121D2" w:rsidR="007F79CB" w:rsidRPr="004D6CA2" w:rsidRDefault="00D74CED" w:rsidP="007F79CB">
            <w:pPr>
              <w:jc w:val="center"/>
              <w:rPr>
                <w:rFonts w:cstheme="minorHAnsi"/>
                <w:sz w:val="20"/>
              </w:rPr>
            </w:pPr>
            <w:r>
              <w:rPr>
                <w:rFonts w:cstheme="minorHAnsi"/>
                <w:sz w:val="20"/>
              </w:rPr>
              <w:t>0</w:t>
            </w:r>
          </w:p>
        </w:tc>
        <w:tc>
          <w:tcPr>
            <w:tcW w:w="1975" w:type="dxa"/>
            <w:vAlign w:val="center"/>
          </w:tcPr>
          <w:p w14:paraId="0FCC53A2" w14:textId="7117A0E5" w:rsidR="007F79CB" w:rsidRPr="004D6CA2" w:rsidRDefault="00D74CED" w:rsidP="007F79CB">
            <w:pPr>
              <w:jc w:val="center"/>
              <w:rPr>
                <w:rFonts w:cstheme="minorHAnsi"/>
                <w:sz w:val="20"/>
              </w:rPr>
            </w:pPr>
            <w:r>
              <w:rPr>
                <w:rFonts w:cstheme="minorHAnsi"/>
                <w:sz w:val="20"/>
              </w:rPr>
              <w:t>0</w:t>
            </w:r>
          </w:p>
        </w:tc>
      </w:tr>
      <w:tr w:rsidR="007F79CB" w14:paraId="6331F38F" w14:textId="77777777" w:rsidTr="007F79CB">
        <w:tc>
          <w:tcPr>
            <w:tcW w:w="3595" w:type="dxa"/>
            <w:vAlign w:val="center"/>
          </w:tcPr>
          <w:p w14:paraId="24C54941" w14:textId="561C1A4C" w:rsidR="007F79CB" w:rsidRPr="004D6CA2" w:rsidRDefault="00D74CED" w:rsidP="007F79CB">
            <w:pPr>
              <w:jc w:val="right"/>
              <w:rPr>
                <w:rFonts w:cstheme="minorHAnsi"/>
                <w:sz w:val="20"/>
              </w:rPr>
            </w:pPr>
            <w:r>
              <w:rPr>
                <w:rFonts w:cstheme="minorHAnsi"/>
                <w:sz w:val="20"/>
              </w:rPr>
              <w:t>Elementary/Special Education</w:t>
            </w:r>
          </w:p>
        </w:tc>
        <w:tc>
          <w:tcPr>
            <w:tcW w:w="2340" w:type="dxa"/>
            <w:vAlign w:val="center"/>
          </w:tcPr>
          <w:p w14:paraId="3F981436" w14:textId="0F29C3AF" w:rsidR="007F79CB" w:rsidRPr="004D6CA2" w:rsidRDefault="00D74CED" w:rsidP="007F79CB">
            <w:pPr>
              <w:jc w:val="center"/>
              <w:rPr>
                <w:rFonts w:cstheme="minorHAnsi"/>
                <w:sz w:val="20"/>
              </w:rPr>
            </w:pPr>
            <w:r>
              <w:rPr>
                <w:rFonts w:cstheme="minorHAnsi"/>
                <w:sz w:val="20"/>
              </w:rPr>
              <w:t>5</w:t>
            </w:r>
          </w:p>
        </w:tc>
        <w:tc>
          <w:tcPr>
            <w:tcW w:w="1440" w:type="dxa"/>
            <w:vAlign w:val="center"/>
          </w:tcPr>
          <w:p w14:paraId="484C2E0A" w14:textId="4ADB3E32" w:rsidR="007F79CB" w:rsidRPr="004D6CA2" w:rsidRDefault="00D74CED" w:rsidP="007F79CB">
            <w:pPr>
              <w:jc w:val="center"/>
              <w:rPr>
                <w:rFonts w:cstheme="minorHAnsi"/>
                <w:sz w:val="20"/>
              </w:rPr>
            </w:pPr>
            <w:r>
              <w:rPr>
                <w:rFonts w:cstheme="minorHAnsi"/>
                <w:sz w:val="20"/>
              </w:rPr>
              <w:t>0</w:t>
            </w:r>
          </w:p>
        </w:tc>
        <w:tc>
          <w:tcPr>
            <w:tcW w:w="1975" w:type="dxa"/>
            <w:vAlign w:val="center"/>
          </w:tcPr>
          <w:p w14:paraId="2D8F07FB" w14:textId="3284707F" w:rsidR="007F79CB" w:rsidRPr="004D6CA2" w:rsidRDefault="00D74CED" w:rsidP="007F79CB">
            <w:pPr>
              <w:jc w:val="center"/>
              <w:rPr>
                <w:rFonts w:cstheme="minorHAnsi"/>
                <w:sz w:val="20"/>
              </w:rPr>
            </w:pPr>
            <w:r>
              <w:rPr>
                <w:rFonts w:cstheme="minorHAnsi"/>
                <w:sz w:val="20"/>
              </w:rPr>
              <w:t>0</w:t>
            </w:r>
          </w:p>
        </w:tc>
      </w:tr>
      <w:tr w:rsidR="007F79CB" w14:paraId="3D1FCB9E" w14:textId="77777777" w:rsidTr="007F79CB">
        <w:tc>
          <w:tcPr>
            <w:tcW w:w="3595" w:type="dxa"/>
            <w:vAlign w:val="center"/>
          </w:tcPr>
          <w:p w14:paraId="0E59AAD1" w14:textId="15F8A65F" w:rsidR="007F79CB" w:rsidRPr="004D6CA2" w:rsidRDefault="00D74CED" w:rsidP="007F79CB">
            <w:pPr>
              <w:jc w:val="right"/>
              <w:rPr>
                <w:rFonts w:cstheme="minorHAnsi"/>
                <w:sz w:val="20"/>
              </w:rPr>
            </w:pPr>
            <w:r>
              <w:rPr>
                <w:rFonts w:cstheme="minorHAnsi"/>
                <w:sz w:val="20"/>
              </w:rPr>
              <w:t>Special Education</w:t>
            </w:r>
          </w:p>
        </w:tc>
        <w:tc>
          <w:tcPr>
            <w:tcW w:w="2340" w:type="dxa"/>
            <w:vAlign w:val="center"/>
          </w:tcPr>
          <w:p w14:paraId="20FABCB0" w14:textId="7F13530A" w:rsidR="007F79CB" w:rsidRPr="004D6CA2" w:rsidRDefault="00D74CED" w:rsidP="007F79CB">
            <w:pPr>
              <w:jc w:val="center"/>
              <w:rPr>
                <w:rFonts w:cstheme="minorHAnsi"/>
                <w:sz w:val="20"/>
              </w:rPr>
            </w:pPr>
            <w:r>
              <w:rPr>
                <w:rFonts w:cstheme="minorHAnsi"/>
                <w:sz w:val="20"/>
              </w:rPr>
              <w:t>2</w:t>
            </w:r>
          </w:p>
        </w:tc>
        <w:tc>
          <w:tcPr>
            <w:tcW w:w="1440" w:type="dxa"/>
            <w:vAlign w:val="center"/>
          </w:tcPr>
          <w:p w14:paraId="4E257E95" w14:textId="57EDD3E3" w:rsidR="007F79CB" w:rsidRPr="004D6CA2" w:rsidRDefault="00D74CED" w:rsidP="007F79CB">
            <w:pPr>
              <w:jc w:val="center"/>
              <w:rPr>
                <w:rFonts w:cstheme="minorHAnsi"/>
                <w:sz w:val="20"/>
              </w:rPr>
            </w:pPr>
            <w:r>
              <w:rPr>
                <w:rFonts w:cstheme="minorHAnsi"/>
                <w:sz w:val="20"/>
              </w:rPr>
              <w:t>0</w:t>
            </w:r>
          </w:p>
        </w:tc>
        <w:tc>
          <w:tcPr>
            <w:tcW w:w="1975" w:type="dxa"/>
            <w:vAlign w:val="center"/>
          </w:tcPr>
          <w:p w14:paraId="0F760162" w14:textId="1DDC82FE" w:rsidR="007F79CB" w:rsidRPr="004D6CA2" w:rsidRDefault="00D74CED" w:rsidP="007F79CB">
            <w:pPr>
              <w:jc w:val="center"/>
              <w:rPr>
                <w:rFonts w:cstheme="minorHAnsi"/>
                <w:sz w:val="20"/>
              </w:rPr>
            </w:pPr>
            <w:r>
              <w:rPr>
                <w:rFonts w:cstheme="minorHAnsi"/>
                <w:sz w:val="20"/>
              </w:rPr>
              <w:t>0</w:t>
            </w:r>
          </w:p>
        </w:tc>
      </w:tr>
      <w:tr w:rsidR="00D74CED" w14:paraId="51E4C718" w14:textId="77777777" w:rsidTr="007F79CB">
        <w:tc>
          <w:tcPr>
            <w:tcW w:w="3595" w:type="dxa"/>
            <w:vAlign w:val="center"/>
          </w:tcPr>
          <w:p w14:paraId="7E33E536" w14:textId="04394298" w:rsidR="00D74CED" w:rsidRDefault="00D74CED" w:rsidP="007F79CB">
            <w:pPr>
              <w:jc w:val="right"/>
              <w:rPr>
                <w:rFonts w:cstheme="minorHAnsi"/>
                <w:sz w:val="20"/>
              </w:rPr>
            </w:pPr>
            <w:r>
              <w:rPr>
                <w:rFonts w:cstheme="minorHAnsi"/>
                <w:sz w:val="20"/>
              </w:rPr>
              <w:t>Education Pre-Majors (Sophomores)</w:t>
            </w:r>
          </w:p>
        </w:tc>
        <w:tc>
          <w:tcPr>
            <w:tcW w:w="2340" w:type="dxa"/>
            <w:vAlign w:val="center"/>
          </w:tcPr>
          <w:p w14:paraId="27ED4899" w14:textId="23BC74FF" w:rsidR="00D74CED" w:rsidRDefault="00D74CED" w:rsidP="007F79CB">
            <w:pPr>
              <w:jc w:val="center"/>
              <w:rPr>
                <w:rFonts w:cstheme="minorHAnsi"/>
                <w:sz w:val="20"/>
              </w:rPr>
            </w:pPr>
            <w:r>
              <w:rPr>
                <w:rFonts w:cstheme="minorHAnsi"/>
                <w:sz w:val="20"/>
              </w:rPr>
              <w:t>8</w:t>
            </w:r>
          </w:p>
        </w:tc>
        <w:tc>
          <w:tcPr>
            <w:tcW w:w="1440" w:type="dxa"/>
            <w:vAlign w:val="center"/>
          </w:tcPr>
          <w:p w14:paraId="5506D259" w14:textId="59E68F7E" w:rsidR="00D74CED" w:rsidRPr="004D6CA2" w:rsidRDefault="00D74CED" w:rsidP="007F79CB">
            <w:pPr>
              <w:jc w:val="center"/>
              <w:rPr>
                <w:rFonts w:cstheme="minorHAnsi"/>
                <w:sz w:val="20"/>
              </w:rPr>
            </w:pPr>
            <w:r>
              <w:rPr>
                <w:rFonts w:cstheme="minorHAnsi"/>
                <w:sz w:val="20"/>
              </w:rPr>
              <w:t>0</w:t>
            </w:r>
          </w:p>
        </w:tc>
        <w:tc>
          <w:tcPr>
            <w:tcW w:w="1975" w:type="dxa"/>
            <w:vAlign w:val="center"/>
          </w:tcPr>
          <w:p w14:paraId="01C08617" w14:textId="2F9A0F5C" w:rsidR="00D74CED" w:rsidRPr="004D6CA2" w:rsidRDefault="00D74CED" w:rsidP="007F79CB">
            <w:pPr>
              <w:jc w:val="center"/>
              <w:rPr>
                <w:rFonts w:cstheme="minorHAnsi"/>
                <w:sz w:val="20"/>
              </w:rPr>
            </w:pPr>
            <w:r>
              <w:rPr>
                <w:rFonts w:cstheme="minorHAnsi"/>
                <w:sz w:val="20"/>
              </w:rPr>
              <w:t>0</w:t>
            </w:r>
          </w:p>
        </w:tc>
      </w:tr>
      <w:tr w:rsidR="00D74CED" w14:paraId="10D36CC7" w14:textId="77777777" w:rsidTr="007F79CB">
        <w:tc>
          <w:tcPr>
            <w:tcW w:w="3595" w:type="dxa"/>
            <w:vAlign w:val="center"/>
          </w:tcPr>
          <w:p w14:paraId="2F489B62" w14:textId="3ED57DB2" w:rsidR="00D74CED" w:rsidRDefault="00D74CED" w:rsidP="007F79CB">
            <w:pPr>
              <w:jc w:val="right"/>
              <w:rPr>
                <w:rFonts w:cstheme="minorHAnsi"/>
                <w:sz w:val="20"/>
              </w:rPr>
            </w:pPr>
            <w:r>
              <w:rPr>
                <w:rFonts w:cstheme="minorHAnsi"/>
                <w:sz w:val="20"/>
              </w:rPr>
              <w:t>Health and Physical Education</w:t>
            </w:r>
          </w:p>
        </w:tc>
        <w:tc>
          <w:tcPr>
            <w:tcW w:w="2340" w:type="dxa"/>
            <w:vAlign w:val="center"/>
          </w:tcPr>
          <w:p w14:paraId="0F7DD226" w14:textId="1F43E983" w:rsidR="00D74CED" w:rsidRDefault="00D74CED" w:rsidP="007F79CB">
            <w:pPr>
              <w:jc w:val="center"/>
              <w:rPr>
                <w:rFonts w:cstheme="minorHAnsi"/>
                <w:sz w:val="20"/>
              </w:rPr>
            </w:pPr>
            <w:r>
              <w:rPr>
                <w:rFonts w:cstheme="minorHAnsi"/>
                <w:sz w:val="20"/>
              </w:rPr>
              <w:t>0</w:t>
            </w:r>
          </w:p>
        </w:tc>
        <w:tc>
          <w:tcPr>
            <w:tcW w:w="1440" w:type="dxa"/>
            <w:vAlign w:val="center"/>
          </w:tcPr>
          <w:p w14:paraId="68F3C395" w14:textId="0B6203E2" w:rsidR="00D74CED" w:rsidRDefault="00D74CED" w:rsidP="007F79CB">
            <w:pPr>
              <w:jc w:val="center"/>
              <w:rPr>
                <w:rFonts w:cstheme="minorHAnsi"/>
                <w:sz w:val="20"/>
              </w:rPr>
            </w:pPr>
            <w:r>
              <w:rPr>
                <w:rFonts w:cstheme="minorHAnsi"/>
                <w:sz w:val="20"/>
              </w:rPr>
              <w:t>1</w:t>
            </w:r>
          </w:p>
        </w:tc>
        <w:tc>
          <w:tcPr>
            <w:tcW w:w="1975" w:type="dxa"/>
            <w:vAlign w:val="center"/>
          </w:tcPr>
          <w:p w14:paraId="6AA32BC7" w14:textId="4A3BBEE8" w:rsidR="00D74CED" w:rsidRPr="004D6CA2" w:rsidRDefault="00D74CED" w:rsidP="007F79CB">
            <w:pPr>
              <w:jc w:val="center"/>
              <w:rPr>
                <w:rFonts w:cstheme="minorHAnsi"/>
                <w:sz w:val="20"/>
              </w:rPr>
            </w:pPr>
            <w:r>
              <w:rPr>
                <w:rFonts w:cstheme="minorHAnsi"/>
                <w:sz w:val="20"/>
              </w:rPr>
              <w:t>1</w:t>
            </w:r>
          </w:p>
        </w:tc>
      </w:tr>
      <w:tr w:rsidR="007F79CB" w14:paraId="0F3F2148" w14:textId="77777777" w:rsidTr="007F79CB">
        <w:tc>
          <w:tcPr>
            <w:tcW w:w="9350" w:type="dxa"/>
            <w:gridSpan w:val="4"/>
            <w:vAlign w:val="center"/>
          </w:tcPr>
          <w:p w14:paraId="34DCA1FC" w14:textId="587ABEC5" w:rsidR="007F79CB" w:rsidRPr="00C25780" w:rsidRDefault="001F3642" w:rsidP="007F79CB">
            <w:pPr>
              <w:jc w:val="center"/>
              <w:rPr>
                <w:rFonts w:cstheme="minorHAnsi"/>
                <w:i/>
                <w:sz w:val="20"/>
              </w:rPr>
            </w:pPr>
            <w:r>
              <w:rPr>
                <w:rFonts w:cstheme="minorHAnsi"/>
                <w:i/>
                <w:sz w:val="20"/>
              </w:rPr>
              <w:t>D.C. Virgo Preparatory Academy (UNCW)</w:t>
            </w:r>
          </w:p>
        </w:tc>
      </w:tr>
      <w:tr w:rsidR="00D74CED" w14:paraId="3CFDEF26" w14:textId="77777777" w:rsidTr="007F79CB">
        <w:tc>
          <w:tcPr>
            <w:tcW w:w="3595" w:type="dxa"/>
            <w:vAlign w:val="center"/>
          </w:tcPr>
          <w:p w14:paraId="33A44AC5" w14:textId="39255E7E" w:rsidR="00D74CED" w:rsidRDefault="00D74CED" w:rsidP="007F79CB">
            <w:pPr>
              <w:jc w:val="right"/>
              <w:rPr>
                <w:rFonts w:cstheme="minorHAnsi"/>
                <w:sz w:val="20"/>
              </w:rPr>
            </w:pPr>
            <w:r>
              <w:rPr>
                <w:rFonts w:cstheme="minorHAnsi"/>
                <w:sz w:val="20"/>
              </w:rPr>
              <w:t>Education Living-Learning Community</w:t>
            </w:r>
          </w:p>
        </w:tc>
        <w:tc>
          <w:tcPr>
            <w:tcW w:w="2340" w:type="dxa"/>
            <w:vAlign w:val="center"/>
          </w:tcPr>
          <w:p w14:paraId="40D5344B" w14:textId="69A6C8BC" w:rsidR="00D74CED" w:rsidRPr="004D6CA2" w:rsidRDefault="00D74CED" w:rsidP="007F79CB">
            <w:pPr>
              <w:jc w:val="center"/>
              <w:rPr>
                <w:rFonts w:cstheme="minorHAnsi"/>
                <w:sz w:val="20"/>
              </w:rPr>
            </w:pPr>
            <w:r>
              <w:rPr>
                <w:rFonts w:cstheme="minorHAnsi"/>
                <w:sz w:val="20"/>
              </w:rPr>
              <w:t>3</w:t>
            </w:r>
          </w:p>
        </w:tc>
        <w:tc>
          <w:tcPr>
            <w:tcW w:w="1440" w:type="dxa"/>
            <w:vAlign w:val="center"/>
          </w:tcPr>
          <w:p w14:paraId="4E43FB16" w14:textId="17EB2868" w:rsidR="00D74CED" w:rsidRPr="004D6CA2" w:rsidRDefault="00D74CED" w:rsidP="007F79CB">
            <w:pPr>
              <w:jc w:val="center"/>
              <w:rPr>
                <w:rFonts w:cstheme="minorHAnsi"/>
                <w:sz w:val="20"/>
              </w:rPr>
            </w:pPr>
            <w:r>
              <w:rPr>
                <w:rFonts w:cstheme="minorHAnsi"/>
                <w:sz w:val="20"/>
              </w:rPr>
              <w:t>0</w:t>
            </w:r>
          </w:p>
        </w:tc>
        <w:tc>
          <w:tcPr>
            <w:tcW w:w="1975" w:type="dxa"/>
            <w:vAlign w:val="center"/>
          </w:tcPr>
          <w:p w14:paraId="21044CAB" w14:textId="3379E198" w:rsidR="00D74CED" w:rsidRPr="004D6CA2" w:rsidRDefault="00D74CED" w:rsidP="007F79CB">
            <w:pPr>
              <w:jc w:val="center"/>
              <w:rPr>
                <w:rFonts w:cstheme="minorHAnsi"/>
                <w:sz w:val="20"/>
              </w:rPr>
            </w:pPr>
            <w:r>
              <w:rPr>
                <w:rFonts w:cstheme="minorHAnsi"/>
                <w:sz w:val="20"/>
              </w:rPr>
              <w:t>0</w:t>
            </w:r>
          </w:p>
        </w:tc>
      </w:tr>
      <w:tr w:rsidR="007F79CB" w14:paraId="6932220D" w14:textId="77777777" w:rsidTr="007F79CB">
        <w:tc>
          <w:tcPr>
            <w:tcW w:w="3595" w:type="dxa"/>
            <w:vAlign w:val="center"/>
          </w:tcPr>
          <w:p w14:paraId="03EC8DBE" w14:textId="77777777" w:rsidR="007F79CB" w:rsidRPr="004D6CA2" w:rsidRDefault="007F79CB" w:rsidP="007F79CB">
            <w:pPr>
              <w:jc w:val="right"/>
              <w:rPr>
                <w:rFonts w:cstheme="minorHAnsi"/>
                <w:sz w:val="20"/>
              </w:rPr>
            </w:pPr>
            <w:r>
              <w:rPr>
                <w:rFonts w:cstheme="minorHAnsi"/>
                <w:sz w:val="20"/>
              </w:rPr>
              <w:t>Elementary Education</w:t>
            </w:r>
          </w:p>
        </w:tc>
        <w:tc>
          <w:tcPr>
            <w:tcW w:w="2340" w:type="dxa"/>
            <w:vAlign w:val="center"/>
          </w:tcPr>
          <w:p w14:paraId="2506698C" w14:textId="603E4671" w:rsidR="007F79CB" w:rsidRPr="004D6CA2" w:rsidRDefault="00D74CED" w:rsidP="007F79CB">
            <w:pPr>
              <w:jc w:val="center"/>
              <w:rPr>
                <w:rFonts w:cstheme="minorHAnsi"/>
                <w:sz w:val="20"/>
              </w:rPr>
            </w:pPr>
            <w:r>
              <w:rPr>
                <w:rFonts w:cstheme="minorHAnsi"/>
                <w:sz w:val="20"/>
              </w:rPr>
              <w:t>32</w:t>
            </w:r>
          </w:p>
        </w:tc>
        <w:tc>
          <w:tcPr>
            <w:tcW w:w="1440" w:type="dxa"/>
            <w:vAlign w:val="center"/>
          </w:tcPr>
          <w:p w14:paraId="020BEA31" w14:textId="65D04674" w:rsidR="007F79CB" w:rsidRPr="004D6CA2" w:rsidRDefault="00D74CED" w:rsidP="007F79CB">
            <w:pPr>
              <w:jc w:val="center"/>
              <w:rPr>
                <w:rFonts w:cstheme="minorHAnsi"/>
                <w:sz w:val="20"/>
              </w:rPr>
            </w:pPr>
            <w:r>
              <w:rPr>
                <w:rFonts w:cstheme="minorHAnsi"/>
                <w:sz w:val="20"/>
              </w:rPr>
              <w:t>0</w:t>
            </w:r>
          </w:p>
        </w:tc>
        <w:tc>
          <w:tcPr>
            <w:tcW w:w="1975" w:type="dxa"/>
            <w:vAlign w:val="center"/>
          </w:tcPr>
          <w:p w14:paraId="1E241479" w14:textId="07C8ED1D" w:rsidR="007F79CB" w:rsidRPr="004D6CA2" w:rsidRDefault="00D74CED" w:rsidP="007F79CB">
            <w:pPr>
              <w:jc w:val="center"/>
              <w:rPr>
                <w:rFonts w:cstheme="minorHAnsi"/>
                <w:sz w:val="20"/>
              </w:rPr>
            </w:pPr>
            <w:r>
              <w:rPr>
                <w:rFonts w:cstheme="minorHAnsi"/>
                <w:sz w:val="20"/>
              </w:rPr>
              <w:t>0</w:t>
            </w:r>
          </w:p>
        </w:tc>
      </w:tr>
      <w:tr w:rsidR="007F79CB" w14:paraId="7CAF595C" w14:textId="77777777" w:rsidTr="007F79CB">
        <w:tc>
          <w:tcPr>
            <w:tcW w:w="3595" w:type="dxa"/>
            <w:vAlign w:val="center"/>
          </w:tcPr>
          <w:p w14:paraId="43513120" w14:textId="77777777" w:rsidR="007F79CB" w:rsidRPr="004D6CA2" w:rsidRDefault="007F79CB" w:rsidP="007F79CB">
            <w:pPr>
              <w:jc w:val="right"/>
              <w:rPr>
                <w:rFonts w:cstheme="minorHAnsi"/>
                <w:sz w:val="20"/>
              </w:rPr>
            </w:pPr>
            <w:r>
              <w:rPr>
                <w:rFonts w:cstheme="minorHAnsi"/>
                <w:sz w:val="20"/>
              </w:rPr>
              <w:t>Middle Grades Education</w:t>
            </w:r>
          </w:p>
        </w:tc>
        <w:tc>
          <w:tcPr>
            <w:tcW w:w="2340" w:type="dxa"/>
            <w:vAlign w:val="center"/>
          </w:tcPr>
          <w:p w14:paraId="1CD681C0" w14:textId="27E15C5E" w:rsidR="007F79CB" w:rsidRPr="004D6CA2" w:rsidRDefault="00D74CED" w:rsidP="007F79CB">
            <w:pPr>
              <w:jc w:val="center"/>
              <w:rPr>
                <w:rFonts w:cstheme="minorHAnsi"/>
                <w:sz w:val="20"/>
              </w:rPr>
            </w:pPr>
            <w:r>
              <w:rPr>
                <w:rFonts w:cstheme="minorHAnsi"/>
                <w:sz w:val="20"/>
              </w:rPr>
              <w:t>22</w:t>
            </w:r>
          </w:p>
        </w:tc>
        <w:tc>
          <w:tcPr>
            <w:tcW w:w="1440" w:type="dxa"/>
            <w:vAlign w:val="center"/>
          </w:tcPr>
          <w:p w14:paraId="6C3C7684" w14:textId="022BBFDD" w:rsidR="007F79CB" w:rsidRPr="004D6CA2" w:rsidRDefault="00D74CED" w:rsidP="007F79CB">
            <w:pPr>
              <w:jc w:val="center"/>
              <w:rPr>
                <w:rFonts w:cstheme="minorHAnsi"/>
                <w:sz w:val="20"/>
              </w:rPr>
            </w:pPr>
            <w:r>
              <w:rPr>
                <w:rFonts w:cstheme="minorHAnsi"/>
                <w:sz w:val="20"/>
              </w:rPr>
              <w:t>0</w:t>
            </w:r>
          </w:p>
        </w:tc>
        <w:tc>
          <w:tcPr>
            <w:tcW w:w="1975" w:type="dxa"/>
            <w:vAlign w:val="center"/>
          </w:tcPr>
          <w:p w14:paraId="669BA900" w14:textId="074BF37E" w:rsidR="007F79CB" w:rsidRPr="004D6CA2" w:rsidRDefault="00D74CED" w:rsidP="007F79CB">
            <w:pPr>
              <w:jc w:val="center"/>
              <w:rPr>
                <w:rFonts w:cstheme="minorHAnsi"/>
                <w:sz w:val="20"/>
              </w:rPr>
            </w:pPr>
            <w:r>
              <w:rPr>
                <w:rFonts w:cstheme="minorHAnsi"/>
                <w:sz w:val="20"/>
              </w:rPr>
              <w:t>0</w:t>
            </w:r>
          </w:p>
        </w:tc>
      </w:tr>
      <w:tr w:rsidR="007F79CB" w14:paraId="568FF4D1" w14:textId="77777777" w:rsidTr="007F79CB">
        <w:tc>
          <w:tcPr>
            <w:tcW w:w="3595" w:type="dxa"/>
            <w:vAlign w:val="center"/>
          </w:tcPr>
          <w:p w14:paraId="6E0421FE" w14:textId="77777777" w:rsidR="007F79CB" w:rsidRPr="004D6CA2" w:rsidRDefault="007F79CB" w:rsidP="007F79CB">
            <w:pPr>
              <w:jc w:val="right"/>
              <w:rPr>
                <w:rFonts w:cstheme="minorHAnsi"/>
                <w:sz w:val="20"/>
              </w:rPr>
            </w:pPr>
            <w:r>
              <w:rPr>
                <w:rFonts w:cstheme="minorHAnsi"/>
                <w:sz w:val="20"/>
              </w:rPr>
              <w:t>Special Education</w:t>
            </w:r>
          </w:p>
        </w:tc>
        <w:tc>
          <w:tcPr>
            <w:tcW w:w="2340" w:type="dxa"/>
            <w:vAlign w:val="center"/>
          </w:tcPr>
          <w:p w14:paraId="2F990BFA" w14:textId="48166D4C" w:rsidR="007F79CB" w:rsidRPr="004D6CA2" w:rsidRDefault="00D74CED" w:rsidP="007F79CB">
            <w:pPr>
              <w:jc w:val="center"/>
              <w:rPr>
                <w:rFonts w:cstheme="minorHAnsi"/>
                <w:sz w:val="20"/>
              </w:rPr>
            </w:pPr>
            <w:r>
              <w:rPr>
                <w:rFonts w:cstheme="minorHAnsi"/>
                <w:sz w:val="20"/>
              </w:rPr>
              <w:t>53</w:t>
            </w:r>
          </w:p>
        </w:tc>
        <w:tc>
          <w:tcPr>
            <w:tcW w:w="1440" w:type="dxa"/>
            <w:vAlign w:val="center"/>
          </w:tcPr>
          <w:p w14:paraId="1D6D55A8" w14:textId="636C2E17" w:rsidR="007F79CB" w:rsidRPr="004D6CA2" w:rsidRDefault="00D74CED" w:rsidP="007F79CB">
            <w:pPr>
              <w:jc w:val="center"/>
              <w:rPr>
                <w:rFonts w:cstheme="minorHAnsi"/>
                <w:sz w:val="20"/>
              </w:rPr>
            </w:pPr>
            <w:r>
              <w:rPr>
                <w:rFonts w:cstheme="minorHAnsi"/>
                <w:sz w:val="20"/>
              </w:rPr>
              <w:t>0</w:t>
            </w:r>
          </w:p>
        </w:tc>
        <w:tc>
          <w:tcPr>
            <w:tcW w:w="1975" w:type="dxa"/>
            <w:vAlign w:val="center"/>
          </w:tcPr>
          <w:p w14:paraId="067BCDB9" w14:textId="4F2631A9" w:rsidR="007F79CB" w:rsidRPr="004D6CA2" w:rsidRDefault="00D74CED" w:rsidP="007F79CB">
            <w:pPr>
              <w:jc w:val="center"/>
              <w:rPr>
                <w:rFonts w:cstheme="minorHAnsi"/>
                <w:sz w:val="20"/>
              </w:rPr>
            </w:pPr>
            <w:r>
              <w:rPr>
                <w:rFonts w:cstheme="minorHAnsi"/>
                <w:sz w:val="20"/>
              </w:rPr>
              <w:t>0</w:t>
            </w:r>
          </w:p>
        </w:tc>
      </w:tr>
      <w:tr w:rsidR="00D74CED" w14:paraId="0E2A9F39" w14:textId="77777777" w:rsidTr="007F79CB">
        <w:tc>
          <w:tcPr>
            <w:tcW w:w="3595" w:type="dxa"/>
            <w:vAlign w:val="center"/>
          </w:tcPr>
          <w:p w14:paraId="370FD0B6" w14:textId="59D31415" w:rsidR="00D74CED" w:rsidRDefault="00D74CED" w:rsidP="007F79CB">
            <w:pPr>
              <w:jc w:val="right"/>
              <w:rPr>
                <w:rFonts w:cstheme="minorHAnsi"/>
                <w:sz w:val="20"/>
              </w:rPr>
            </w:pPr>
            <w:r>
              <w:rPr>
                <w:rFonts w:cstheme="minorHAnsi"/>
                <w:sz w:val="20"/>
              </w:rPr>
              <w:t>Health and Physical Education</w:t>
            </w:r>
          </w:p>
        </w:tc>
        <w:tc>
          <w:tcPr>
            <w:tcW w:w="2340" w:type="dxa"/>
            <w:vAlign w:val="center"/>
          </w:tcPr>
          <w:p w14:paraId="74C69CC6" w14:textId="11B64113" w:rsidR="00D74CED" w:rsidRDefault="00D74CED" w:rsidP="007F79CB">
            <w:pPr>
              <w:jc w:val="center"/>
              <w:rPr>
                <w:rFonts w:cstheme="minorHAnsi"/>
                <w:sz w:val="20"/>
              </w:rPr>
            </w:pPr>
            <w:r>
              <w:rPr>
                <w:rFonts w:cstheme="minorHAnsi"/>
                <w:sz w:val="20"/>
              </w:rPr>
              <w:t>4</w:t>
            </w:r>
          </w:p>
        </w:tc>
        <w:tc>
          <w:tcPr>
            <w:tcW w:w="1440" w:type="dxa"/>
            <w:vAlign w:val="center"/>
          </w:tcPr>
          <w:p w14:paraId="02793CCA" w14:textId="48311A06" w:rsidR="00D74CED" w:rsidRPr="004D6CA2" w:rsidRDefault="00D74CED" w:rsidP="007F79CB">
            <w:pPr>
              <w:jc w:val="center"/>
              <w:rPr>
                <w:rFonts w:cstheme="minorHAnsi"/>
                <w:sz w:val="20"/>
              </w:rPr>
            </w:pPr>
            <w:r>
              <w:rPr>
                <w:rFonts w:cstheme="minorHAnsi"/>
                <w:sz w:val="20"/>
              </w:rPr>
              <w:t>0</w:t>
            </w:r>
          </w:p>
        </w:tc>
        <w:tc>
          <w:tcPr>
            <w:tcW w:w="1975" w:type="dxa"/>
            <w:vAlign w:val="center"/>
          </w:tcPr>
          <w:p w14:paraId="001DB162" w14:textId="1EC037B7" w:rsidR="00D74CED" w:rsidRPr="004D6CA2" w:rsidRDefault="00D74CED" w:rsidP="007F79CB">
            <w:pPr>
              <w:jc w:val="center"/>
              <w:rPr>
                <w:rFonts w:cstheme="minorHAnsi"/>
                <w:sz w:val="20"/>
              </w:rPr>
            </w:pPr>
            <w:r>
              <w:rPr>
                <w:rFonts w:cstheme="minorHAnsi"/>
                <w:sz w:val="20"/>
              </w:rPr>
              <w:t>0</w:t>
            </w:r>
          </w:p>
        </w:tc>
      </w:tr>
      <w:tr w:rsidR="007F79CB" w14:paraId="7B1E4F98" w14:textId="77777777" w:rsidTr="007F79CB">
        <w:tc>
          <w:tcPr>
            <w:tcW w:w="9350" w:type="dxa"/>
            <w:gridSpan w:val="4"/>
            <w:vAlign w:val="center"/>
          </w:tcPr>
          <w:p w14:paraId="741595BC" w14:textId="318F062E" w:rsidR="007F79CB" w:rsidRPr="00C25780" w:rsidRDefault="001F3642" w:rsidP="007F79CB">
            <w:pPr>
              <w:jc w:val="center"/>
              <w:rPr>
                <w:rFonts w:cstheme="minorHAnsi"/>
                <w:i/>
                <w:sz w:val="20"/>
              </w:rPr>
            </w:pPr>
            <w:r>
              <w:rPr>
                <w:rFonts w:cstheme="minorHAnsi"/>
                <w:i/>
                <w:sz w:val="20"/>
              </w:rPr>
              <w:t>The Catamount School (WCU)</w:t>
            </w:r>
          </w:p>
        </w:tc>
      </w:tr>
      <w:tr w:rsidR="007F79CB" w14:paraId="3B702D75" w14:textId="77777777" w:rsidTr="007F79CB">
        <w:tc>
          <w:tcPr>
            <w:tcW w:w="3595" w:type="dxa"/>
            <w:vAlign w:val="center"/>
          </w:tcPr>
          <w:p w14:paraId="54E075A0" w14:textId="77777777" w:rsidR="007F79CB" w:rsidRDefault="007F79CB" w:rsidP="007F79CB">
            <w:pPr>
              <w:jc w:val="right"/>
              <w:rPr>
                <w:rFonts w:cstheme="minorHAnsi"/>
                <w:sz w:val="20"/>
              </w:rPr>
            </w:pPr>
            <w:r>
              <w:rPr>
                <w:rFonts w:cstheme="minorHAnsi"/>
                <w:sz w:val="20"/>
              </w:rPr>
              <w:t>Elementary Education/Special Education</w:t>
            </w:r>
          </w:p>
        </w:tc>
        <w:tc>
          <w:tcPr>
            <w:tcW w:w="2340" w:type="dxa"/>
            <w:vAlign w:val="center"/>
          </w:tcPr>
          <w:p w14:paraId="420D5B42" w14:textId="43443A91" w:rsidR="007F79CB" w:rsidRDefault="007F79CB" w:rsidP="007F79CB">
            <w:pPr>
              <w:jc w:val="center"/>
              <w:rPr>
                <w:rFonts w:cstheme="minorHAnsi"/>
                <w:sz w:val="20"/>
              </w:rPr>
            </w:pPr>
            <w:r>
              <w:rPr>
                <w:rFonts w:cstheme="minorHAnsi"/>
                <w:sz w:val="20"/>
              </w:rPr>
              <w:t>55</w:t>
            </w:r>
          </w:p>
        </w:tc>
        <w:tc>
          <w:tcPr>
            <w:tcW w:w="1440" w:type="dxa"/>
            <w:vAlign w:val="center"/>
          </w:tcPr>
          <w:p w14:paraId="1572CE8B" w14:textId="16DB9D4F" w:rsidR="007F79CB" w:rsidRDefault="007F79CB" w:rsidP="007F79CB">
            <w:pPr>
              <w:jc w:val="center"/>
              <w:rPr>
                <w:rFonts w:cstheme="minorHAnsi"/>
                <w:sz w:val="20"/>
              </w:rPr>
            </w:pPr>
            <w:r>
              <w:rPr>
                <w:rFonts w:cstheme="minorHAnsi"/>
                <w:sz w:val="20"/>
              </w:rPr>
              <w:t>0</w:t>
            </w:r>
          </w:p>
        </w:tc>
        <w:tc>
          <w:tcPr>
            <w:tcW w:w="1975" w:type="dxa"/>
            <w:vAlign w:val="center"/>
          </w:tcPr>
          <w:p w14:paraId="706A5C9F" w14:textId="362EB39E" w:rsidR="007F79CB" w:rsidRDefault="007F79CB" w:rsidP="007F79CB">
            <w:pPr>
              <w:jc w:val="center"/>
              <w:rPr>
                <w:rFonts w:cstheme="minorHAnsi"/>
                <w:sz w:val="20"/>
              </w:rPr>
            </w:pPr>
            <w:r>
              <w:rPr>
                <w:rFonts w:cstheme="minorHAnsi"/>
                <w:sz w:val="20"/>
              </w:rPr>
              <w:t>0</w:t>
            </w:r>
          </w:p>
        </w:tc>
      </w:tr>
      <w:tr w:rsidR="007F79CB" w14:paraId="297802C9" w14:textId="77777777" w:rsidTr="007F79CB">
        <w:tc>
          <w:tcPr>
            <w:tcW w:w="3595" w:type="dxa"/>
            <w:vAlign w:val="center"/>
          </w:tcPr>
          <w:p w14:paraId="598CB858" w14:textId="77777777" w:rsidR="007F79CB" w:rsidRDefault="007F79CB" w:rsidP="007F79CB">
            <w:pPr>
              <w:jc w:val="right"/>
              <w:rPr>
                <w:rFonts w:cstheme="minorHAnsi"/>
                <w:sz w:val="20"/>
              </w:rPr>
            </w:pPr>
            <w:r>
              <w:rPr>
                <w:rFonts w:cstheme="minorHAnsi"/>
                <w:sz w:val="20"/>
              </w:rPr>
              <w:t>Middle Grades Education</w:t>
            </w:r>
          </w:p>
        </w:tc>
        <w:tc>
          <w:tcPr>
            <w:tcW w:w="2340" w:type="dxa"/>
            <w:vAlign w:val="center"/>
          </w:tcPr>
          <w:p w14:paraId="0688F5D1" w14:textId="0B8DC457" w:rsidR="007F79CB" w:rsidRDefault="007F79CB" w:rsidP="007F79CB">
            <w:pPr>
              <w:jc w:val="center"/>
              <w:rPr>
                <w:rFonts w:cstheme="minorHAnsi"/>
                <w:sz w:val="20"/>
              </w:rPr>
            </w:pPr>
            <w:r>
              <w:rPr>
                <w:rFonts w:cstheme="minorHAnsi"/>
                <w:sz w:val="20"/>
              </w:rPr>
              <w:t>10</w:t>
            </w:r>
          </w:p>
        </w:tc>
        <w:tc>
          <w:tcPr>
            <w:tcW w:w="1440" w:type="dxa"/>
            <w:vAlign w:val="center"/>
          </w:tcPr>
          <w:p w14:paraId="4F4B1157" w14:textId="022E9653" w:rsidR="007F79CB" w:rsidRDefault="007F79CB" w:rsidP="007F79CB">
            <w:pPr>
              <w:jc w:val="center"/>
              <w:rPr>
                <w:rFonts w:cstheme="minorHAnsi"/>
                <w:sz w:val="20"/>
              </w:rPr>
            </w:pPr>
            <w:r>
              <w:rPr>
                <w:rFonts w:cstheme="minorHAnsi"/>
                <w:sz w:val="20"/>
              </w:rPr>
              <w:t>6</w:t>
            </w:r>
          </w:p>
        </w:tc>
        <w:tc>
          <w:tcPr>
            <w:tcW w:w="1975" w:type="dxa"/>
            <w:vAlign w:val="center"/>
          </w:tcPr>
          <w:p w14:paraId="0DE51C36" w14:textId="38AD8300" w:rsidR="007F79CB" w:rsidRDefault="007F79CB" w:rsidP="007F79CB">
            <w:pPr>
              <w:jc w:val="center"/>
              <w:rPr>
                <w:rFonts w:cstheme="minorHAnsi"/>
                <w:sz w:val="20"/>
              </w:rPr>
            </w:pPr>
            <w:r>
              <w:rPr>
                <w:rFonts w:cstheme="minorHAnsi"/>
                <w:sz w:val="20"/>
              </w:rPr>
              <w:t>1</w:t>
            </w:r>
          </w:p>
        </w:tc>
      </w:tr>
      <w:tr w:rsidR="007F79CB" w14:paraId="71CB6563" w14:textId="77777777" w:rsidTr="007F79CB">
        <w:tc>
          <w:tcPr>
            <w:tcW w:w="3595" w:type="dxa"/>
            <w:vAlign w:val="center"/>
          </w:tcPr>
          <w:p w14:paraId="7C0F9136" w14:textId="77777777" w:rsidR="007F79CB" w:rsidRDefault="007F79CB" w:rsidP="007F79CB">
            <w:pPr>
              <w:jc w:val="right"/>
              <w:rPr>
                <w:rFonts w:cstheme="minorHAnsi"/>
                <w:sz w:val="20"/>
              </w:rPr>
            </w:pPr>
            <w:r>
              <w:rPr>
                <w:rFonts w:cstheme="minorHAnsi"/>
                <w:sz w:val="20"/>
              </w:rPr>
              <w:t>Health and Physical Education</w:t>
            </w:r>
          </w:p>
        </w:tc>
        <w:tc>
          <w:tcPr>
            <w:tcW w:w="2340" w:type="dxa"/>
            <w:vAlign w:val="center"/>
          </w:tcPr>
          <w:p w14:paraId="7C42CDA8" w14:textId="3C890F2A" w:rsidR="007F79CB" w:rsidRDefault="007F79CB" w:rsidP="007F79CB">
            <w:pPr>
              <w:jc w:val="center"/>
              <w:rPr>
                <w:rFonts w:cstheme="minorHAnsi"/>
                <w:sz w:val="20"/>
              </w:rPr>
            </w:pPr>
            <w:r>
              <w:rPr>
                <w:rFonts w:cstheme="minorHAnsi"/>
                <w:sz w:val="20"/>
              </w:rPr>
              <w:t>11</w:t>
            </w:r>
          </w:p>
        </w:tc>
        <w:tc>
          <w:tcPr>
            <w:tcW w:w="1440" w:type="dxa"/>
            <w:vAlign w:val="center"/>
          </w:tcPr>
          <w:p w14:paraId="29D8AEC7" w14:textId="5049B196" w:rsidR="007F79CB" w:rsidRDefault="007F79CB" w:rsidP="007F79CB">
            <w:pPr>
              <w:jc w:val="center"/>
              <w:rPr>
                <w:rFonts w:cstheme="minorHAnsi"/>
                <w:sz w:val="20"/>
              </w:rPr>
            </w:pPr>
            <w:r>
              <w:rPr>
                <w:rFonts w:cstheme="minorHAnsi"/>
                <w:sz w:val="20"/>
              </w:rPr>
              <w:t>5</w:t>
            </w:r>
          </w:p>
        </w:tc>
        <w:tc>
          <w:tcPr>
            <w:tcW w:w="1975" w:type="dxa"/>
            <w:vAlign w:val="center"/>
          </w:tcPr>
          <w:p w14:paraId="78B5CECC" w14:textId="774EA566" w:rsidR="007F79CB" w:rsidRDefault="007F79CB" w:rsidP="007F79CB">
            <w:pPr>
              <w:jc w:val="center"/>
              <w:rPr>
                <w:rFonts w:cstheme="minorHAnsi"/>
                <w:sz w:val="20"/>
              </w:rPr>
            </w:pPr>
            <w:r>
              <w:rPr>
                <w:rFonts w:cstheme="minorHAnsi"/>
                <w:sz w:val="20"/>
              </w:rPr>
              <w:t>0</w:t>
            </w:r>
          </w:p>
        </w:tc>
      </w:tr>
      <w:tr w:rsidR="007F79CB" w14:paraId="496425A9" w14:textId="77777777" w:rsidTr="007F79CB">
        <w:tc>
          <w:tcPr>
            <w:tcW w:w="3595" w:type="dxa"/>
            <w:vAlign w:val="center"/>
          </w:tcPr>
          <w:p w14:paraId="22FD7BC8" w14:textId="77777777" w:rsidR="007F79CB" w:rsidRDefault="007F79CB" w:rsidP="007F79CB">
            <w:pPr>
              <w:jc w:val="right"/>
              <w:rPr>
                <w:rFonts w:cstheme="minorHAnsi"/>
                <w:sz w:val="20"/>
              </w:rPr>
            </w:pPr>
            <w:r>
              <w:rPr>
                <w:rFonts w:cstheme="minorHAnsi"/>
                <w:sz w:val="20"/>
              </w:rPr>
              <w:t>Masters in School Administration</w:t>
            </w:r>
          </w:p>
        </w:tc>
        <w:tc>
          <w:tcPr>
            <w:tcW w:w="2340" w:type="dxa"/>
            <w:vAlign w:val="center"/>
          </w:tcPr>
          <w:p w14:paraId="71826206" w14:textId="19F2E8D9" w:rsidR="007F79CB" w:rsidRDefault="007F79CB" w:rsidP="007F79CB">
            <w:pPr>
              <w:jc w:val="center"/>
              <w:rPr>
                <w:rFonts w:cstheme="minorHAnsi"/>
                <w:sz w:val="20"/>
              </w:rPr>
            </w:pPr>
            <w:r>
              <w:rPr>
                <w:rFonts w:cstheme="minorHAnsi"/>
                <w:sz w:val="20"/>
              </w:rPr>
              <w:t>---</w:t>
            </w:r>
          </w:p>
        </w:tc>
        <w:tc>
          <w:tcPr>
            <w:tcW w:w="1440" w:type="dxa"/>
            <w:vAlign w:val="center"/>
          </w:tcPr>
          <w:p w14:paraId="31F76D20" w14:textId="3240AC74" w:rsidR="007F79CB" w:rsidRDefault="007F79CB" w:rsidP="007F79CB">
            <w:pPr>
              <w:jc w:val="center"/>
              <w:rPr>
                <w:rFonts w:cstheme="minorHAnsi"/>
                <w:sz w:val="20"/>
              </w:rPr>
            </w:pPr>
            <w:r>
              <w:rPr>
                <w:rFonts w:cstheme="minorHAnsi"/>
                <w:sz w:val="20"/>
              </w:rPr>
              <w:t>---</w:t>
            </w:r>
          </w:p>
        </w:tc>
        <w:tc>
          <w:tcPr>
            <w:tcW w:w="1975" w:type="dxa"/>
            <w:vAlign w:val="center"/>
          </w:tcPr>
          <w:p w14:paraId="7C2242A8" w14:textId="7624A804" w:rsidR="007F79CB" w:rsidRDefault="007F79CB" w:rsidP="007F79CB">
            <w:pPr>
              <w:jc w:val="center"/>
              <w:rPr>
                <w:rFonts w:cstheme="minorHAnsi"/>
                <w:sz w:val="20"/>
              </w:rPr>
            </w:pPr>
            <w:r>
              <w:rPr>
                <w:rFonts w:cstheme="minorHAnsi"/>
                <w:sz w:val="20"/>
              </w:rPr>
              <w:t>1</w:t>
            </w:r>
          </w:p>
        </w:tc>
      </w:tr>
    </w:tbl>
    <w:p w14:paraId="22059D56" w14:textId="49440398" w:rsidR="007F79CB" w:rsidRPr="00086BB4" w:rsidRDefault="007F79CB" w:rsidP="007F79CB">
      <w:pPr>
        <w:spacing w:before="120" w:after="0" w:line="240" w:lineRule="auto"/>
        <w:rPr>
          <w:rFonts w:cstheme="minorHAnsi"/>
          <w:i/>
          <w:sz w:val="16"/>
        </w:rPr>
      </w:pPr>
      <w:r>
        <w:rPr>
          <w:rFonts w:cstheme="minorHAnsi"/>
          <w:i/>
          <w:sz w:val="16"/>
        </w:rPr>
        <w:t xml:space="preserve">Note: For each UNC System institution, this table displays counts of the pre-service candidates who had clinical experiences in a laboratory school in 2019-20. These data are displayed by institution and program area (e.g. elementary education, special education). </w:t>
      </w:r>
    </w:p>
    <w:p w14:paraId="16FE8E90" w14:textId="77777777" w:rsidR="003412BC" w:rsidRDefault="003412BC" w:rsidP="003412BC">
      <w:pPr>
        <w:spacing w:after="0" w:line="240" w:lineRule="auto"/>
        <w:rPr>
          <w:iCs/>
        </w:rPr>
      </w:pPr>
    </w:p>
    <w:p w14:paraId="3D62152C" w14:textId="3C14A5BD" w:rsidR="00B058FA" w:rsidRDefault="00B13B06" w:rsidP="00C360C7">
      <w:pPr>
        <w:spacing w:after="0" w:line="240" w:lineRule="auto"/>
        <w:jc w:val="both"/>
        <w:rPr>
          <w:rFonts w:cstheme="minorHAnsi"/>
        </w:rPr>
      </w:pPr>
      <w:r w:rsidRPr="00B13B06">
        <w:rPr>
          <w:rFonts w:cstheme="minorHAnsi"/>
        </w:rPr>
        <w:lastRenderedPageBreak/>
        <w:t>Table 8</w:t>
      </w:r>
      <w:r>
        <w:rPr>
          <w:rFonts w:cstheme="minorHAnsi"/>
        </w:rPr>
        <w:t xml:space="preserve"> presents counts of the pre-service teachers and school leaders who had a clinical experience—early field, intern I, intern II—in a laboratory school in 2019-20.</w:t>
      </w:r>
      <w:r w:rsidR="00782C2C">
        <w:rPr>
          <w:rStyle w:val="FootnoteReference"/>
          <w:rFonts w:cstheme="minorHAnsi"/>
        </w:rPr>
        <w:footnoteReference w:id="54"/>
      </w:r>
      <w:r>
        <w:rPr>
          <w:rFonts w:cstheme="minorHAnsi"/>
        </w:rPr>
        <w:t xml:space="preserve"> Due to the distance between Appalachian State and its laboratory school, the COE placed a limited number of teacher candidates at its laboratory school in 2019-20. Appalachian State continues to work on a long-term strategy that would increase the number of students able to serve internships at the laboratory school.</w:t>
      </w:r>
      <w:r w:rsidR="00C6434B">
        <w:rPr>
          <w:rFonts w:cstheme="minorHAnsi"/>
        </w:rPr>
        <w:t xml:space="preserve"> ECU placed 46 teacher candidates into early field experiences at the ECU Community School and had two full-time student teachers (from elementary education and early childhood) at the laboratory school. </w:t>
      </w:r>
      <w:r w:rsidR="007D0433">
        <w:rPr>
          <w:rFonts w:cstheme="minorHAnsi"/>
        </w:rPr>
        <w:t xml:space="preserve">UNCG placed 31 </w:t>
      </w:r>
      <w:r w:rsidR="003D2FB7">
        <w:rPr>
          <w:rFonts w:cstheme="minorHAnsi"/>
        </w:rPr>
        <w:t>pre-service</w:t>
      </w:r>
      <w:r w:rsidR="007D0433">
        <w:rPr>
          <w:rFonts w:cstheme="minorHAnsi"/>
        </w:rPr>
        <w:t xml:space="preserve"> candidates into early field experiences at Moss Street Partnership School. One health and physical education student from UNCG completed an intern I and intern II (student teaching) experience at the laboratory school in 2019-20. UNCW placed 114 </w:t>
      </w:r>
      <w:r w:rsidR="003D2FB7">
        <w:rPr>
          <w:rFonts w:cstheme="minorHAnsi"/>
        </w:rPr>
        <w:t>pre-service</w:t>
      </w:r>
      <w:r w:rsidR="007D0433">
        <w:rPr>
          <w:rFonts w:cstheme="minorHAnsi"/>
        </w:rPr>
        <w:t xml:space="preserve"> candidates into early field experiences at D.C. Virgo Preparatory Academy. Because the laboratory school</w:t>
      </w:r>
      <w:r w:rsidR="003E66D5">
        <w:rPr>
          <w:rFonts w:cstheme="minorHAnsi"/>
        </w:rPr>
        <w:t xml:space="preserve"> typically</w:t>
      </w:r>
      <w:r w:rsidR="007D0433">
        <w:rPr>
          <w:rFonts w:cstheme="minorHAnsi"/>
        </w:rPr>
        <w:t xml:space="preserve"> </w:t>
      </w:r>
      <w:r w:rsidR="00166FF7">
        <w:rPr>
          <w:rFonts w:cstheme="minorHAnsi"/>
        </w:rPr>
        <w:t xml:space="preserve">operates on a year-round schedule that does not align with the university’s schedule, UNCW did not place any candidates into intern I or intern II experiences at the laboratory school. WCU placed 76 teacher candidates into early field experiences at The Catamount School. In addition, WCU placed 11 candidates into intern I experiences and one candidate, from middle grades education, into a student teaching experience (intern II) at The Catamount School. </w:t>
      </w:r>
      <w:r w:rsidR="00B058FA">
        <w:rPr>
          <w:rFonts w:cstheme="minorHAnsi"/>
        </w:rPr>
        <w:t>Finally, Table 8 shows that only WCU placed a school leader candidate into a formal, principal internship at its laboratory school in 2019-20. Four ECU NC Principal Fellow candidates completed projects at the ECU Community School in 2019-20 but none of these school leader candidates completed a formal, principal internship at the school.</w:t>
      </w:r>
    </w:p>
    <w:p w14:paraId="17EDF834" w14:textId="77777777" w:rsidR="00B058FA" w:rsidRDefault="00B058FA" w:rsidP="00C360C7">
      <w:pPr>
        <w:spacing w:after="0" w:line="240" w:lineRule="auto"/>
        <w:jc w:val="both"/>
        <w:rPr>
          <w:rFonts w:cstheme="minorHAnsi"/>
        </w:rPr>
      </w:pPr>
    </w:p>
    <w:p w14:paraId="3EC88CB8" w14:textId="0844D305" w:rsidR="00FC7D12" w:rsidRDefault="00FC7D12" w:rsidP="00C360C7">
      <w:pPr>
        <w:spacing w:after="0" w:line="240" w:lineRule="auto"/>
        <w:jc w:val="both"/>
      </w:pPr>
      <w:r>
        <w:t xml:space="preserve">As UNCC begins placing interns, it plans to emphasize a </w:t>
      </w:r>
      <w:r w:rsidR="003D2FB7">
        <w:t>pre-service</w:t>
      </w:r>
      <w:r>
        <w:t xml:space="preserve"> candidate’s fit with the laboratory school. UNCC will have students majoring in elementary education or double majoring in elementary and special education apply to be part of a cohort of students who have onsite methods courses at the laboratory school in 2020-21. UNCC will screen candidates from this pool for senior year internships the following year.</w:t>
      </w:r>
    </w:p>
    <w:p w14:paraId="4C6B6706" w14:textId="77777777" w:rsidR="00FC7D12" w:rsidRDefault="00FC7D12" w:rsidP="00C360C7">
      <w:pPr>
        <w:spacing w:after="0" w:line="240" w:lineRule="auto"/>
        <w:jc w:val="both"/>
      </w:pPr>
    </w:p>
    <w:p w14:paraId="18BB713F" w14:textId="77777777" w:rsidR="00FC7D12" w:rsidRDefault="005A60F1" w:rsidP="009E5A96">
      <w:pPr>
        <w:spacing w:after="0" w:line="240" w:lineRule="auto"/>
        <w:jc w:val="both"/>
        <w:rPr>
          <w:rFonts w:cstheme="minorHAnsi"/>
          <w:i/>
        </w:rPr>
      </w:pPr>
      <w:r>
        <w:rPr>
          <w:rFonts w:cstheme="minorHAnsi"/>
          <w:i/>
        </w:rPr>
        <w:t>Principal interns</w:t>
      </w:r>
    </w:p>
    <w:p w14:paraId="44BCE1BA" w14:textId="702D6653" w:rsidR="008054BE" w:rsidRDefault="007563E2" w:rsidP="009E5A96">
      <w:pPr>
        <w:spacing w:after="0" w:line="240" w:lineRule="auto"/>
        <w:jc w:val="both"/>
        <w:rPr>
          <w:rFonts w:cstheme="minorHAnsi"/>
        </w:rPr>
      </w:pPr>
      <w:r>
        <w:rPr>
          <w:rFonts w:cstheme="minorHAnsi"/>
          <w:i/>
        </w:rPr>
        <w:t xml:space="preserve"> </w:t>
      </w:r>
    </w:p>
    <w:p w14:paraId="70A0E94D" w14:textId="62F09445" w:rsidR="003A1EF7" w:rsidRDefault="008277D0" w:rsidP="00A44716">
      <w:pPr>
        <w:spacing w:after="0" w:line="240" w:lineRule="auto"/>
        <w:jc w:val="both"/>
        <w:rPr>
          <w:rFonts w:cstheme="minorHAnsi"/>
        </w:rPr>
      </w:pPr>
      <w:r>
        <w:rPr>
          <w:rFonts w:cstheme="minorHAnsi"/>
        </w:rPr>
        <w:t xml:space="preserve">Laboratory schools place principal interns </w:t>
      </w:r>
      <w:r w:rsidR="003A1EF7">
        <w:rPr>
          <w:rFonts w:cstheme="minorHAnsi"/>
        </w:rPr>
        <w:t>through their partner COE’s Masters of School Administration (MSA) program or the NC Principal Fellows program, a scholarship loan program that funds principal intern salaries.</w:t>
      </w:r>
      <w:r w:rsidR="001145DC">
        <w:rPr>
          <w:rFonts w:cstheme="minorHAnsi"/>
        </w:rPr>
        <w:t xml:space="preserve"> </w:t>
      </w:r>
      <w:r w:rsidR="003A1EF7">
        <w:rPr>
          <w:rFonts w:cstheme="minorHAnsi"/>
        </w:rPr>
        <w:t xml:space="preserve">Laboratory schools hosted fewer principal interns in 2019-20 than in 2018-19, primarily because of a lack of MSA candidates seeking placements at the laboratory school or candidates available through the NC Principal Fellows program. The physical distance from its laboratory school </w:t>
      </w:r>
      <w:r w:rsidR="00E06BBB">
        <w:rPr>
          <w:rFonts w:cstheme="minorHAnsi"/>
        </w:rPr>
        <w:t xml:space="preserve">creates </w:t>
      </w:r>
      <w:r w:rsidR="003A1EF7">
        <w:rPr>
          <w:rFonts w:cstheme="minorHAnsi"/>
        </w:rPr>
        <w:t xml:space="preserve">unique challenges </w:t>
      </w:r>
      <w:r w:rsidR="00E06BBB">
        <w:rPr>
          <w:rFonts w:cstheme="minorHAnsi"/>
        </w:rPr>
        <w:t xml:space="preserve">for </w:t>
      </w:r>
      <w:r w:rsidR="003A1EF7">
        <w:rPr>
          <w:rFonts w:cstheme="minorHAnsi"/>
        </w:rPr>
        <w:t>Appalachian State to place principal candidates in internships at its laboratory school.</w:t>
      </w:r>
    </w:p>
    <w:p w14:paraId="0C85023B" w14:textId="77777777" w:rsidR="003A1EF7" w:rsidRDefault="003A1EF7" w:rsidP="00A44716">
      <w:pPr>
        <w:spacing w:after="0" w:line="240" w:lineRule="auto"/>
        <w:jc w:val="both"/>
        <w:rPr>
          <w:rFonts w:cstheme="minorHAnsi"/>
        </w:rPr>
      </w:pPr>
    </w:p>
    <w:p w14:paraId="4A3627C1" w14:textId="5FC4610A" w:rsidR="002D10DC" w:rsidRPr="00AA7F1D" w:rsidRDefault="007C13A7" w:rsidP="006D0B33">
      <w:pPr>
        <w:spacing w:after="0" w:line="240" w:lineRule="auto"/>
        <w:jc w:val="both"/>
        <w:rPr>
          <w:rFonts w:cstheme="minorHAnsi"/>
        </w:rPr>
      </w:pPr>
      <w:r>
        <w:rPr>
          <w:rFonts w:cstheme="minorHAnsi"/>
        </w:rPr>
        <w:t xml:space="preserve">Only </w:t>
      </w:r>
      <w:proofErr w:type="gramStart"/>
      <w:r>
        <w:rPr>
          <w:rFonts w:cstheme="minorHAnsi"/>
        </w:rPr>
        <w:t>The</w:t>
      </w:r>
      <w:proofErr w:type="gramEnd"/>
      <w:r>
        <w:rPr>
          <w:rFonts w:cstheme="minorHAnsi"/>
        </w:rPr>
        <w:t xml:space="preserve"> Catamount School</w:t>
      </w:r>
      <w:r w:rsidR="002E5521">
        <w:rPr>
          <w:rFonts w:cstheme="minorHAnsi"/>
        </w:rPr>
        <w:t xml:space="preserve"> (WCU)</w:t>
      </w:r>
      <w:r w:rsidR="00D51F85">
        <w:rPr>
          <w:rFonts w:cstheme="minorHAnsi"/>
        </w:rPr>
        <w:t xml:space="preserve"> hosted a school leader candidate in a formal principal internship in 2019-20. The Catamount School’s first principal intern was an MSA candidate at WCU’s COE who was also a teacher at the laboratory school’s co-located school (Smoky Mountain High School).</w:t>
      </w:r>
      <w:r w:rsidR="00496DC7">
        <w:rPr>
          <w:rFonts w:cstheme="minorHAnsi"/>
        </w:rPr>
        <w:t xml:space="preserve"> In this unique set of circumstances, the principal intern completed internship requirements at both schools. He actively participated in administrative functions at The Catamount School and mentorship activities under the </w:t>
      </w:r>
      <w:r w:rsidR="00496DC7">
        <w:rPr>
          <w:rFonts w:cstheme="minorHAnsi"/>
        </w:rPr>
        <w:lastRenderedPageBreak/>
        <w:t xml:space="preserve">oversight of the laboratory school principal while fulfilling other internship requirements at the host school. </w:t>
      </w:r>
      <w:r w:rsidR="003A1EF7">
        <w:rPr>
          <w:rFonts w:cstheme="minorHAnsi"/>
        </w:rPr>
        <w:t xml:space="preserve">The </w:t>
      </w:r>
      <w:r w:rsidR="00285D23">
        <w:rPr>
          <w:rFonts w:cstheme="minorHAnsi"/>
        </w:rPr>
        <w:t>ECU</w:t>
      </w:r>
      <w:r w:rsidR="002E5521">
        <w:rPr>
          <w:rFonts w:cstheme="minorHAnsi"/>
        </w:rPr>
        <w:t xml:space="preserve"> </w:t>
      </w:r>
      <w:r>
        <w:rPr>
          <w:rFonts w:cstheme="minorHAnsi"/>
        </w:rPr>
        <w:t>C</w:t>
      </w:r>
      <w:r w:rsidR="002E5521">
        <w:rPr>
          <w:rFonts w:cstheme="minorHAnsi"/>
        </w:rPr>
        <w:t xml:space="preserve">ommunity </w:t>
      </w:r>
      <w:r>
        <w:rPr>
          <w:rFonts w:cstheme="minorHAnsi"/>
        </w:rPr>
        <w:t>S</w:t>
      </w:r>
      <w:r w:rsidR="002E5521">
        <w:rPr>
          <w:rFonts w:cstheme="minorHAnsi"/>
        </w:rPr>
        <w:t>chool</w:t>
      </w:r>
      <w:r w:rsidR="00285D23">
        <w:rPr>
          <w:rFonts w:cstheme="minorHAnsi"/>
        </w:rPr>
        <w:t xml:space="preserve"> </w:t>
      </w:r>
      <w:r w:rsidR="00D51F85">
        <w:rPr>
          <w:rFonts w:cstheme="minorHAnsi"/>
        </w:rPr>
        <w:t xml:space="preserve">did not host any school leader candidates in formal principal internship experiences in 2019-20. However, the ECU Community School hosted four school leader candidates—part of the NC Principal Fellows cohort at ECU—for earlier field experiences at the laboratory school. These school leader candidates completed two service-learning projects, a beginning teacher support </w:t>
      </w:r>
      <w:proofErr w:type="gramStart"/>
      <w:r w:rsidR="00D51F85">
        <w:rPr>
          <w:rFonts w:cstheme="minorHAnsi"/>
        </w:rPr>
        <w:t>plan</w:t>
      </w:r>
      <w:proofErr w:type="gramEnd"/>
      <w:r w:rsidR="00D51F85">
        <w:rPr>
          <w:rFonts w:cstheme="minorHAnsi"/>
        </w:rPr>
        <w:t xml:space="preserve"> and a laboratory school culture/climate audit. </w:t>
      </w:r>
      <w:r w:rsidR="002D10DC" w:rsidRPr="00AA7F1D">
        <w:rPr>
          <w:rFonts w:cstheme="minorHAnsi"/>
        </w:rPr>
        <w:t xml:space="preserve">UNCG did </w:t>
      </w:r>
      <w:r w:rsidR="00AA7F1D">
        <w:rPr>
          <w:rFonts w:cstheme="minorHAnsi"/>
        </w:rPr>
        <w:t xml:space="preserve">not have a principal intern but </w:t>
      </w:r>
      <w:r w:rsidR="002D10DC" w:rsidRPr="00AA7F1D">
        <w:rPr>
          <w:rFonts w:cstheme="minorHAnsi"/>
        </w:rPr>
        <w:t>host</w:t>
      </w:r>
      <w:r w:rsidR="00AA7F1D">
        <w:rPr>
          <w:rFonts w:cstheme="minorHAnsi"/>
        </w:rPr>
        <w:t>ed</w:t>
      </w:r>
      <w:r w:rsidR="002D10DC" w:rsidRPr="00AA7F1D">
        <w:rPr>
          <w:rFonts w:cstheme="minorHAnsi"/>
        </w:rPr>
        <w:t xml:space="preserve"> </w:t>
      </w:r>
      <w:r w:rsidR="00AA7F1D">
        <w:rPr>
          <w:rFonts w:cstheme="minorHAnsi"/>
        </w:rPr>
        <w:t>t</w:t>
      </w:r>
      <w:r w:rsidR="002D10DC" w:rsidRPr="00AA7F1D">
        <w:rPr>
          <w:rFonts w:cstheme="minorHAnsi"/>
        </w:rPr>
        <w:t xml:space="preserve">he COE’s Principal Preparation for Educational Excellence in Rural Schools cohort </w:t>
      </w:r>
      <w:r w:rsidR="00AA7F1D">
        <w:rPr>
          <w:rFonts w:cstheme="minorHAnsi"/>
        </w:rPr>
        <w:t xml:space="preserve">at the laboratory school </w:t>
      </w:r>
      <w:r w:rsidR="002D10DC" w:rsidRPr="00AA7F1D">
        <w:rPr>
          <w:rFonts w:cstheme="minorHAnsi"/>
        </w:rPr>
        <w:t xml:space="preserve">for three separate days of </w:t>
      </w:r>
      <w:r w:rsidR="00AA7F1D">
        <w:rPr>
          <w:rFonts w:cstheme="minorHAnsi"/>
        </w:rPr>
        <w:t xml:space="preserve">professional development </w:t>
      </w:r>
      <w:r w:rsidR="002D10DC" w:rsidRPr="00AA7F1D">
        <w:rPr>
          <w:rFonts w:cstheme="minorHAnsi"/>
        </w:rPr>
        <w:t>on equity, innovation, systemic change</w:t>
      </w:r>
      <w:r w:rsidR="003A1EF7">
        <w:rPr>
          <w:rFonts w:cstheme="minorHAnsi"/>
        </w:rPr>
        <w:t>,</w:t>
      </w:r>
      <w:r w:rsidR="002D10DC" w:rsidRPr="00AA7F1D">
        <w:rPr>
          <w:rFonts w:cstheme="minorHAnsi"/>
        </w:rPr>
        <w:t xml:space="preserve"> and politics of education.</w:t>
      </w:r>
      <w:r w:rsidR="00AA7F1D">
        <w:rPr>
          <w:rStyle w:val="FootnoteReference"/>
          <w:rFonts w:cstheme="minorHAnsi"/>
        </w:rPr>
        <w:footnoteReference w:id="55"/>
      </w:r>
    </w:p>
    <w:p w14:paraId="1A1AF992" w14:textId="77777777" w:rsidR="00B377BF" w:rsidRDefault="00B377BF" w:rsidP="004C70BC">
      <w:pPr>
        <w:spacing w:after="0" w:line="240" w:lineRule="auto"/>
        <w:rPr>
          <w:rFonts w:cstheme="minorHAnsi"/>
          <w:i/>
        </w:rPr>
      </w:pPr>
    </w:p>
    <w:p w14:paraId="0D080A44" w14:textId="3E16DCC5" w:rsidR="00277496" w:rsidRDefault="005A60F1" w:rsidP="00C84EF3">
      <w:pPr>
        <w:spacing w:after="0" w:line="240" w:lineRule="auto"/>
        <w:rPr>
          <w:rFonts w:cstheme="minorHAnsi"/>
          <w:i/>
        </w:rPr>
      </w:pPr>
      <w:r>
        <w:rPr>
          <w:rFonts w:cstheme="minorHAnsi"/>
          <w:i/>
        </w:rPr>
        <w:t>College of education faculty engagement with laboratory school</w:t>
      </w:r>
      <w:r w:rsidR="00BC0F52">
        <w:rPr>
          <w:rFonts w:cstheme="minorHAnsi"/>
          <w:i/>
        </w:rPr>
        <w:t>s</w:t>
      </w:r>
    </w:p>
    <w:p w14:paraId="7AA91077" w14:textId="77777777" w:rsidR="00277496" w:rsidRDefault="00277496" w:rsidP="00C84EF3">
      <w:pPr>
        <w:spacing w:after="0" w:line="240" w:lineRule="auto"/>
        <w:rPr>
          <w:rFonts w:cstheme="minorHAnsi"/>
          <w:i/>
        </w:rPr>
      </w:pPr>
    </w:p>
    <w:p w14:paraId="30C4037E" w14:textId="4D6443F3" w:rsidR="004904F0" w:rsidRPr="00FD5F0A" w:rsidRDefault="006D0B33" w:rsidP="008613CA">
      <w:pPr>
        <w:spacing w:after="0" w:line="240" w:lineRule="auto"/>
        <w:jc w:val="both"/>
        <w:rPr>
          <w:rFonts w:cstheme="minorHAnsi"/>
          <w:iCs/>
        </w:rPr>
      </w:pPr>
      <w:r w:rsidRPr="004904F0">
        <w:rPr>
          <w:rFonts w:cstheme="minorHAnsi"/>
          <w:iCs/>
        </w:rPr>
        <w:t>COEs</w:t>
      </w:r>
      <w:r w:rsidR="004904F0" w:rsidRPr="004904F0">
        <w:rPr>
          <w:rFonts w:cstheme="minorHAnsi"/>
          <w:iCs/>
        </w:rPr>
        <w:t xml:space="preserve"> </w:t>
      </w:r>
      <w:r w:rsidRPr="004904F0">
        <w:rPr>
          <w:rFonts w:cstheme="minorHAnsi"/>
          <w:iCs/>
        </w:rPr>
        <w:t xml:space="preserve">are increasingly systematizing </w:t>
      </w:r>
      <w:r w:rsidR="00BC0F52">
        <w:rPr>
          <w:rFonts w:cstheme="minorHAnsi"/>
          <w:iCs/>
        </w:rPr>
        <w:t xml:space="preserve">ways for faculty to engage with laboratory school staff and students. </w:t>
      </w:r>
      <w:r w:rsidRPr="004904F0">
        <w:rPr>
          <w:rFonts w:cstheme="minorHAnsi"/>
          <w:iCs/>
        </w:rPr>
        <w:t xml:space="preserve">Generally, </w:t>
      </w:r>
      <w:r w:rsidR="004904F0" w:rsidRPr="004904F0">
        <w:rPr>
          <w:rFonts w:cstheme="minorHAnsi"/>
          <w:iCs/>
        </w:rPr>
        <w:t xml:space="preserve">COE faculty </w:t>
      </w:r>
      <w:r w:rsidR="004904F0">
        <w:rPr>
          <w:rFonts w:cstheme="minorHAnsi"/>
          <w:iCs/>
        </w:rPr>
        <w:t>have either a</w:t>
      </w:r>
      <w:r w:rsidR="004904F0" w:rsidRPr="004904F0">
        <w:rPr>
          <w:rFonts w:cstheme="minorHAnsi"/>
          <w:iCs/>
        </w:rPr>
        <w:t xml:space="preserve"> </w:t>
      </w:r>
      <w:r w:rsidR="004904F0">
        <w:rPr>
          <w:rFonts w:cstheme="minorHAnsi"/>
          <w:iCs/>
        </w:rPr>
        <w:t>r</w:t>
      </w:r>
      <w:r w:rsidR="004904F0" w:rsidRPr="004904F0">
        <w:rPr>
          <w:rFonts w:cstheme="minorHAnsi"/>
          <w:iCs/>
        </w:rPr>
        <w:t xml:space="preserve">egular onsite presence </w:t>
      </w:r>
      <w:r w:rsidR="004904F0">
        <w:rPr>
          <w:rFonts w:cstheme="minorHAnsi"/>
          <w:iCs/>
        </w:rPr>
        <w:t xml:space="preserve">at the laboratory school </w:t>
      </w:r>
      <w:r w:rsidR="004904F0" w:rsidRPr="004904F0">
        <w:rPr>
          <w:rFonts w:cstheme="minorHAnsi"/>
          <w:iCs/>
        </w:rPr>
        <w:t>(e.g.</w:t>
      </w:r>
      <w:r w:rsidR="0040346A">
        <w:rPr>
          <w:rFonts w:cstheme="minorHAnsi"/>
          <w:iCs/>
        </w:rPr>
        <w:t>,</w:t>
      </w:r>
      <w:r w:rsidR="004904F0" w:rsidRPr="004904F0">
        <w:rPr>
          <w:rFonts w:cstheme="minorHAnsi"/>
          <w:iCs/>
        </w:rPr>
        <w:t xml:space="preserve"> faculty in residence, COE faculty teaching at school</w:t>
      </w:r>
      <w:r w:rsidR="004904F0">
        <w:rPr>
          <w:rFonts w:cstheme="minorHAnsi"/>
          <w:iCs/>
        </w:rPr>
        <w:t xml:space="preserve">) or </w:t>
      </w:r>
      <w:r w:rsidR="00640938">
        <w:rPr>
          <w:rFonts w:cstheme="minorHAnsi"/>
          <w:iCs/>
        </w:rPr>
        <w:t>engage with laboratory school staff on an ad hoc basis.</w:t>
      </w:r>
    </w:p>
    <w:p w14:paraId="12F0354E" w14:textId="6AC6D0A9" w:rsidR="004904F0" w:rsidRDefault="004904F0" w:rsidP="00FD5F0A">
      <w:pPr>
        <w:spacing w:after="0" w:line="240" w:lineRule="auto"/>
        <w:rPr>
          <w:rFonts w:cstheme="minorHAnsi"/>
          <w:iCs/>
        </w:rPr>
      </w:pPr>
    </w:p>
    <w:p w14:paraId="4A13981E" w14:textId="0142EB9E" w:rsidR="00330ABC" w:rsidRDefault="00FE5499" w:rsidP="00FE5499">
      <w:pPr>
        <w:spacing w:after="0" w:line="240" w:lineRule="auto"/>
        <w:rPr>
          <w:rFonts w:cstheme="minorHAnsi"/>
          <w:iCs/>
        </w:rPr>
      </w:pPr>
      <w:r>
        <w:rPr>
          <w:rFonts w:cstheme="minorHAnsi"/>
          <w:iCs/>
        </w:rPr>
        <w:t xml:space="preserve">COE </w:t>
      </w:r>
      <w:r w:rsidRPr="002E5521">
        <w:rPr>
          <w:rFonts w:cstheme="minorHAnsi"/>
          <w:iCs/>
        </w:rPr>
        <w:t>faculty with a regular onsite presence at laboratory schools are e</w:t>
      </w:r>
      <w:r w:rsidR="004904F0" w:rsidRPr="002E5521">
        <w:rPr>
          <w:rFonts w:cstheme="minorHAnsi"/>
          <w:iCs/>
        </w:rPr>
        <w:t xml:space="preserve">mbedded </w:t>
      </w:r>
      <w:r w:rsidRPr="002E5521">
        <w:rPr>
          <w:rFonts w:cstheme="minorHAnsi"/>
          <w:iCs/>
        </w:rPr>
        <w:t xml:space="preserve">into the staff through </w:t>
      </w:r>
      <w:r w:rsidR="00330ABC" w:rsidRPr="002E5521">
        <w:rPr>
          <w:rFonts w:cstheme="minorHAnsi"/>
          <w:iCs/>
        </w:rPr>
        <w:t xml:space="preserve">several </w:t>
      </w:r>
      <w:r w:rsidR="002E5521" w:rsidRPr="002E5521">
        <w:rPr>
          <w:rFonts w:cstheme="minorHAnsi"/>
          <w:iCs/>
        </w:rPr>
        <w:t>position</w:t>
      </w:r>
      <w:r w:rsidR="002E5521">
        <w:rPr>
          <w:rFonts w:cstheme="minorHAnsi"/>
          <w:iCs/>
        </w:rPr>
        <w:t xml:space="preserve"> type</w:t>
      </w:r>
      <w:r w:rsidR="002E5521" w:rsidRPr="002E5521">
        <w:rPr>
          <w:rFonts w:cstheme="minorHAnsi"/>
          <w:iCs/>
        </w:rPr>
        <w:t>s</w:t>
      </w:r>
      <w:r w:rsidRPr="002E5521">
        <w:rPr>
          <w:rFonts w:cstheme="minorHAnsi"/>
          <w:iCs/>
        </w:rPr>
        <w:t>.</w:t>
      </w:r>
      <w:r>
        <w:rPr>
          <w:rFonts w:cstheme="minorHAnsi"/>
          <w:iCs/>
        </w:rPr>
        <w:t xml:space="preserve"> </w:t>
      </w:r>
    </w:p>
    <w:p w14:paraId="75EF1C05" w14:textId="34B5A583" w:rsidR="00391636" w:rsidRDefault="00FE5499" w:rsidP="00BC0F52">
      <w:pPr>
        <w:pStyle w:val="ListParagraph"/>
        <w:numPr>
          <w:ilvl w:val="0"/>
          <w:numId w:val="49"/>
        </w:numPr>
        <w:spacing w:after="0" w:line="240" w:lineRule="auto"/>
        <w:jc w:val="both"/>
        <w:rPr>
          <w:rFonts w:cstheme="minorHAnsi"/>
          <w:iCs/>
        </w:rPr>
      </w:pPr>
      <w:r w:rsidRPr="00330ABC">
        <w:rPr>
          <w:rFonts w:cstheme="minorHAnsi"/>
          <w:iCs/>
        </w:rPr>
        <w:t>Laboratory school c</w:t>
      </w:r>
      <w:r w:rsidR="004904F0" w:rsidRPr="00391636">
        <w:rPr>
          <w:rFonts w:cstheme="minorHAnsi"/>
          <w:iCs/>
        </w:rPr>
        <w:t xml:space="preserve">urriculum directors are </w:t>
      </w:r>
      <w:r w:rsidRPr="00391636">
        <w:rPr>
          <w:rFonts w:cstheme="minorHAnsi"/>
          <w:iCs/>
        </w:rPr>
        <w:t xml:space="preserve">typically </w:t>
      </w:r>
      <w:r w:rsidR="004904F0" w:rsidRPr="00391636">
        <w:rPr>
          <w:rFonts w:cstheme="minorHAnsi"/>
          <w:iCs/>
        </w:rPr>
        <w:t xml:space="preserve">COE faculty based at </w:t>
      </w:r>
      <w:r w:rsidRPr="00391636">
        <w:rPr>
          <w:rFonts w:cstheme="minorHAnsi"/>
          <w:iCs/>
        </w:rPr>
        <w:t xml:space="preserve">the </w:t>
      </w:r>
      <w:r w:rsidR="004904F0" w:rsidRPr="00391636">
        <w:rPr>
          <w:rFonts w:cstheme="minorHAnsi"/>
          <w:iCs/>
        </w:rPr>
        <w:t>lab</w:t>
      </w:r>
      <w:r w:rsidRPr="00391636">
        <w:rPr>
          <w:rFonts w:cstheme="minorHAnsi"/>
          <w:iCs/>
        </w:rPr>
        <w:t xml:space="preserve">oratory </w:t>
      </w:r>
      <w:r w:rsidR="004904F0" w:rsidRPr="00391636">
        <w:rPr>
          <w:rFonts w:cstheme="minorHAnsi"/>
          <w:iCs/>
        </w:rPr>
        <w:t xml:space="preserve">school who serve as liaisons between </w:t>
      </w:r>
      <w:r w:rsidRPr="00391636">
        <w:rPr>
          <w:rFonts w:cstheme="minorHAnsi"/>
          <w:iCs/>
        </w:rPr>
        <w:t xml:space="preserve">the </w:t>
      </w:r>
      <w:r w:rsidR="004904F0" w:rsidRPr="00391636">
        <w:rPr>
          <w:rFonts w:cstheme="minorHAnsi"/>
          <w:iCs/>
        </w:rPr>
        <w:t xml:space="preserve">COE and </w:t>
      </w:r>
      <w:r w:rsidR="00BC0F52">
        <w:rPr>
          <w:rFonts w:cstheme="minorHAnsi"/>
          <w:iCs/>
        </w:rPr>
        <w:t xml:space="preserve">the laboratory </w:t>
      </w:r>
      <w:r w:rsidR="004904F0" w:rsidRPr="00391636">
        <w:rPr>
          <w:rFonts w:cstheme="minorHAnsi"/>
          <w:iCs/>
        </w:rPr>
        <w:t>school on curricular and instructional supports</w:t>
      </w:r>
      <w:r w:rsidRPr="002772E1">
        <w:rPr>
          <w:rFonts w:cstheme="minorHAnsi"/>
          <w:iCs/>
        </w:rPr>
        <w:t xml:space="preserve">. </w:t>
      </w:r>
    </w:p>
    <w:p w14:paraId="11E272CE" w14:textId="52F754B5" w:rsidR="00391636" w:rsidRDefault="002E5521" w:rsidP="00BC0F52">
      <w:pPr>
        <w:pStyle w:val="ListParagraph"/>
        <w:numPr>
          <w:ilvl w:val="0"/>
          <w:numId w:val="49"/>
        </w:numPr>
        <w:spacing w:after="0" w:line="240" w:lineRule="auto"/>
        <w:jc w:val="both"/>
        <w:rPr>
          <w:rFonts w:cstheme="minorHAnsi"/>
          <w:iCs/>
        </w:rPr>
      </w:pPr>
      <w:r>
        <w:rPr>
          <w:rFonts w:cstheme="minorHAnsi"/>
          <w:iCs/>
        </w:rPr>
        <w:t>Teachers or co-teachers in core content subjects</w:t>
      </w:r>
      <w:r w:rsidR="00BC0F52">
        <w:rPr>
          <w:rFonts w:cstheme="minorHAnsi"/>
          <w:iCs/>
        </w:rPr>
        <w:t>. F</w:t>
      </w:r>
      <w:r>
        <w:rPr>
          <w:rFonts w:cstheme="minorHAnsi"/>
          <w:iCs/>
        </w:rPr>
        <w:t>or example,</w:t>
      </w:r>
      <w:r w:rsidR="00FE5499" w:rsidRPr="00391636">
        <w:rPr>
          <w:rFonts w:cstheme="minorHAnsi"/>
          <w:iCs/>
        </w:rPr>
        <w:t xml:space="preserve"> WCU </w:t>
      </w:r>
      <w:r w:rsidR="004904F0" w:rsidRPr="00391636">
        <w:rPr>
          <w:rFonts w:cstheme="minorHAnsi"/>
          <w:iCs/>
        </w:rPr>
        <w:t xml:space="preserve">COE faculty </w:t>
      </w:r>
      <w:r w:rsidR="00FE5499" w:rsidRPr="00391636">
        <w:rPr>
          <w:rFonts w:cstheme="minorHAnsi"/>
          <w:iCs/>
        </w:rPr>
        <w:t>a</w:t>
      </w:r>
      <w:r w:rsidR="004904F0" w:rsidRPr="00391636">
        <w:rPr>
          <w:rFonts w:cstheme="minorHAnsi"/>
          <w:iCs/>
        </w:rPr>
        <w:t xml:space="preserve">re </w:t>
      </w:r>
      <w:r>
        <w:rPr>
          <w:rFonts w:cstheme="minorHAnsi"/>
          <w:iCs/>
        </w:rPr>
        <w:t>also laboratory school staff members who s</w:t>
      </w:r>
      <w:r w:rsidR="004904F0" w:rsidRPr="00391636">
        <w:rPr>
          <w:rFonts w:cstheme="minorHAnsi"/>
          <w:iCs/>
        </w:rPr>
        <w:t xml:space="preserve">erve as teacher leaders in their content areas, </w:t>
      </w:r>
      <w:r>
        <w:rPr>
          <w:rFonts w:cstheme="minorHAnsi"/>
          <w:iCs/>
        </w:rPr>
        <w:t xml:space="preserve">teaching or co-teaching classes and </w:t>
      </w:r>
      <w:r w:rsidR="004904F0" w:rsidRPr="00391636">
        <w:rPr>
          <w:rFonts w:cstheme="minorHAnsi"/>
          <w:iCs/>
        </w:rPr>
        <w:t>supporting</w:t>
      </w:r>
      <w:r w:rsidR="00FE5499" w:rsidRPr="00391636">
        <w:rPr>
          <w:rFonts w:cstheme="minorHAnsi"/>
          <w:iCs/>
        </w:rPr>
        <w:t xml:space="preserve"> and </w:t>
      </w:r>
      <w:r w:rsidR="004904F0" w:rsidRPr="00391636">
        <w:rPr>
          <w:rFonts w:cstheme="minorHAnsi"/>
          <w:iCs/>
        </w:rPr>
        <w:t>mentoring other lab</w:t>
      </w:r>
      <w:r>
        <w:rPr>
          <w:rFonts w:cstheme="minorHAnsi"/>
          <w:iCs/>
        </w:rPr>
        <w:t>oratory</w:t>
      </w:r>
      <w:r w:rsidR="004904F0" w:rsidRPr="00391636">
        <w:rPr>
          <w:rFonts w:cstheme="minorHAnsi"/>
          <w:iCs/>
        </w:rPr>
        <w:t xml:space="preserve"> school staff</w:t>
      </w:r>
      <w:r w:rsidR="00FE5499" w:rsidRPr="00391636">
        <w:rPr>
          <w:rFonts w:cstheme="minorHAnsi"/>
          <w:iCs/>
        </w:rPr>
        <w:t>.</w:t>
      </w:r>
      <w:r w:rsidR="00FE5499">
        <w:rPr>
          <w:rStyle w:val="FootnoteReference"/>
          <w:rFonts w:cstheme="minorHAnsi"/>
          <w:iCs/>
        </w:rPr>
        <w:footnoteReference w:id="56"/>
      </w:r>
      <w:r w:rsidR="00FE5499" w:rsidRPr="00330ABC">
        <w:rPr>
          <w:rFonts w:cstheme="minorHAnsi"/>
          <w:iCs/>
        </w:rPr>
        <w:t xml:space="preserve"> </w:t>
      </w:r>
    </w:p>
    <w:p w14:paraId="2DF348F6" w14:textId="1C1B568D" w:rsidR="004904F0" w:rsidRPr="00640938" w:rsidRDefault="004904F0" w:rsidP="00BC0F52">
      <w:pPr>
        <w:pStyle w:val="ListParagraph"/>
        <w:numPr>
          <w:ilvl w:val="0"/>
          <w:numId w:val="49"/>
        </w:numPr>
        <w:spacing w:after="0" w:line="240" w:lineRule="auto"/>
        <w:jc w:val="both"/>
        <w:rPr>
          <w:rFonts w:cstheme="minorHAnsi"/>
          <w:iCs/>
        </w:rPr>
      </w:pPr>
      <w:r w:rsidRPr="00391636">
        <w:rPr>
          <w:rFonts w:cstheme="minorHAnsi"/>
          <w:iCs/>
        </w:rPr>
        <w:t>Faculty-in-residence</w:t>
      </w:r>
      <w:r w:rsidR="00330ABC" w:rsidRPr="00391636">
        <w:rPr>
          <w:rFonts w:cstheme="minorHAnsi"/>
          <w:iCs/>
        </w:rPr>
        <w:t xml:space="preserve"> serve</w:t>
      </w:r>
      <w:r w:rsidRPr="00391636">
        <w:rPr>
          <w:rFonts w:cstheme="minorHAnsi"/>
          <w:iCs/>
        </w:rPr>
        <w:t xml:space="preserve"> </w:t>
      </w:r>
      <w:r w:rsidR="00330ABC" w:rsidRPr="00391636">
        <w:rPr>
          <w:rFonts w:cstheme="minorHAnsi"/>
          <w:iCs/>
        </w:rPr>
        <w:t>t</w:t>
      </w:r>
      <w:r w:rsidRPr="00391636">
        <w:rPr>
          <w:rFonts w:cstheme="minorHAnsi"/>
          <w:iCs/>
        </w:rPr>
        <w:t xml:space="preserve">wo to three days onsite at </w:t>
      </w:r>
      <w:r w:rsidR="00BC0F52">
        <w:rPr>
          <w:rFonts w:cstheme="minorHAnsi"/>
          <w:iCs/>
        </w:rPr>
        <w:t xml:space="preserve">the </w:t>
      </w:r>
      <w:r w:rsidRPr="00391636">
        <w:rPr>
          <w:rFonts w:cstheme="minorHAnsi"/>
          <w:iCs/>
        </w:rPr>
        <w:t>laboratory school</w:t>
      </w:r>
      <w:r w:rsidR="009140AB">
        <w:rPr>
          <w:rFonts w:cstheme="minorHAnsi"/>
          <w:iCs/>
        </w:rPr>
        <w:t>.</w:t>
      </w:r>
      <w:r w:rsidR="00330ABC" w:rsidRPr="00391636">
        <w:rPr>
          <w:rFonts w:cstheme="minorHAnsi"/>
          <w:iCs/>
        </w:rPr>
        <w:t xml:space="preserve"> </w:t>
      </w:r>
      <w:r w:rsidR="009140AB">
        <w:rPr>
          <w:rFonts w:cstheme="minorHAnsi"/>
          <w:iCs/>
        </w:rPr>
        <w:t>Typically, they must have a focus for their residency and some COEs require interested faculty to apply for the position. P</w:t>
      </w:r>
      <w:r w:rsidR="00330ABC" w:rsidRPr="009140AB">
        <w:rPr>
          <w:rFonts w:cstheme="minorHAnsi"/>
          <w:iCs/>
        </w:rPr>
        <w:t>ropos</w:t>
      </w:r>
      <w:r w:rsidR="009140AB">
        <w:rPr>
          <w:rFonts w:cstheme="minorHAnsi"/>
          <w:iCs/>
        </w:rPr>
        <w:t>ed</w:t>
      </w:r>
      <w:r w:rsidR="00330ABC" w:rsidRPr="009140AB">
        <w:rPr>
          <w:rFonts w:cstheme="minorHAnsi"/>
          <w:iCs/>
        </w:rPr>
        <w:t xml:space="preserve"> work </w:t>
      </w:r>
      <w:r w:rsidR="009140AB">
        <w:rPr>
          <w:rFonts w:cstheme="minorHAnsi"/>
          <w:iCs/>
        </w:rPr>
        <w:t xml:space="preserve">must </w:t>
      </w:r>
      <w:r w:rsidR="00330ABC" w:rsidRPr="009140AB">
        <w:rPr>
          <w:rFonts w:cstheme="minorHAnsi"/>
          <w:iCs/>
        </w:rPr>
        <w:t xml:space="preserve">align with the laboratory school model. For </w:t>
      </w:r>
      <w:r w:rsidR="0040346A">
        <w:rPr>
          <w:rFonts w:cstheme="minorHAnsi"/>
          <w:iCs/>
        </w:rPr>
        <w:t>example</w:t>
      </w:r>
      <w:r w:rsidR="00330ABC" w:rsidRPr="009140AB">
        <w:rPr>
          <w:rFonts w:cstheme="minorHAnsi"/>
          <w:iCs/>
        </w:rPr>
        <w:t xml:space="preserve">, at </w:t>
      </w:r>
      <w:r w:rsidR="00496DC7">
        <w:rPr>
          <w:rFonts w:cstheme="minorHAnsi"/>
          <w:iCs/>
        </w:rPr>
        <w:t>the Academy at Middle Fork (Appalachian State)</w:t>
      </w:r>
      <w:r w:rsidR="00330ABC" w:rsidRPr="009140AB">
        <w:rPr>
          <w:rFonts w:cstheme="minorHAnsi"/>
          <w:iCs/>
        </w:rPr>
        <w:t xml:space="preserve"> the </w:t>
      </w:r>
      <w:r w:rsidRPr="009140AB">
        <w:rPr>
          <w:rFonts w:cstheme="minorHAnsi"/>
          <w:iCs/>
        </w:rPr>
        <w:t xml:space="preserve">faculty-in-residence implemented </w:t>
      </w:r>
      <w:r w:rsidR="00330ABC" w:rsidRPr="009140AB">
        <w:rPr>
          <w:rFonts w:cstheme="minorHAnsi"/>
          <w:iCs/>
        </w:rPr>
        <w:t xml:space="preserve">a </w:t>
      </w:r>
      <w:r w:rsidRPr="009140AB">
        <w:rPr>
          <w:rFonts w:cstheme="minorHAnsi"/>
          <w:iCs/>
        </w:rPr>
        <w:t>new gifted and talented program</w:t>
      </w:r>
      <w:r w:rsidR="005C795D">
        <w:rPr>
          <w:rFonts w:cstheme="minorHAnsi"/>
          <w:iCs/>
        </w:rPr>
        <w:t>,</w:t>
      </w:r>
      <w:r w:rsidRPr="009140AB">
        <w:rPr>
          <w:rFonts w:cstheme="minorHAnsi"/>
          <w:iCs/>
        </w:rPr>
        <w:t xml:space="preserve"> pulling out students one day</w:t>
      </w:r>
      <w:r w:rsidR="00330ABC" w:rsidRPr="009140AB">
        <w:rPr>
          <w:rFonts w:cstheme="minorHAnsi"/>
          <w:iCs/>
        </w:rPr>
        <w:t xml:space="preserve"> </w:t>
      </w:r>
      <w:r w:rsidR="005C795D">
        <w:rPr>
          <w:rFonts w:cstheme="minorHAnsi"/>
          <w:iCs/>
        </w:rPr>
        <w:t xml:space="preserve">a week </w:t>
      </w:r>
      <w:r w:rsidR="00330ABC" w:rsidRPr="009140AB">
        <w:rPr>
          <w:rFonts w:cstheme="minorHAnsi"/>
          <w:iCs/>
        </w:rPr>
        <w:t>and</w:t>
      </w:r>
      <w:r w:rsidRPr="009140AB">
        <w:rPr>
          <w:rFonts w:cstheme="minorHAnsi"/>
          <w:iCs/>
        </w:rPr>
        <w:t xml:space="preserve"> working with teachers the other</w:t>
      </w:r>
      <w:r w:rsidR="00330ABC" w:rsidRPr="009140AB">
        <w:rPr>
          <w:rFonts w:cstheme="minorHAnsi"/>
          <w:iCs/>
        </w:rPr>
        <w:t xml:space="preserve">. </w:t>
      </w:r>
      <w:r w:rsidR="005C795D">
        <w:rPr>
          <w:rFonts w:cstheme="minorHAnsi"/>
          <w:iCs/>
        </w:rPr>
        <w:t xml:space="preserve">The </w:t>
      </w:r>
      <w:r w:rsidRPr="009140AB">
        <w:rPr>
          <w:rFonts w:cstheme="minorHAnsi"/>
          <w:iCs/>
        </w:rPr>
        <w:t>ECU</w:t>
      </w:r>
      <w:r w:rsidR="002E5521">
        <w:rPr>
          <w:rFonts w:cstheme="minorHAnsi"/>
          <w:iCs/>
        </w:rPr>
        <w:t xml:space="preserve"> </w:t>
      </w:r>
      <w:r w:rsidR="00330ABC" w:rsidRPr="009140AB">
        <w:rPr>
          <w:rFonts w:cstheme="minorHAnsi"/>
          <w:iCs/>
        </w:rPr>
        <w:t>C</w:t>
      </w:r>
      <w:r w:rsidR="002E5521">
        <w:rPr>
          <w:rFonts w:cstheme="minorHAnsi"/>
          <w:iCs/>
        </w:rPr>
        <w:t xml:space="preserve">ommunity </w:t>
      </w:r>
      <w:r w:rsidR="00330ABC" w:rsidRPr="009140AB">
        <w:rPr>
          <w:rFonts w:cstheme="minorHAnsi"/>
          <w:iCs/>
        </w:rPr>
        <w:t>S</w:t>
      </w:r>
      <w:r w:rsidR="002E5521">
        <w:rPr>
          <w:rFonts w:cstheme="minorHAnsi"/>
          <w:iCs/>
        </w:rPr>
        <w:t>chool</w:t>
      </w:r>
      <w:r w:rsidRPr="009140AB">
        <w:rPr>
          <w:rFonts w:cstheme="minorHAnsi"/>
          <w:iCs/>
        </w:rPr>
        <w:t xml:space="preserve"> had three</w:t>
      </w:r>
      <w:r w:rsidR="00330ABC" w:rsidRPr="009140AB">
        <w:rPr>
          <w:rFonts w:cstheme="minorHAnsi"/>
          <w:iCs/>
        </w:rPr>
        <w:t xml:space="preserve"> faculty-in residence</w:t>
      </w:r>
      <w:r w:rsidRPr="009140AB">
        <w:rPr>
          <w:rFonts w:cstheme="minorHAnsi"/>
          <w:iCs/>
        </w:rPr>
        <w:t>, one focused on supporting MTSS intervention and supports</w:t>
      </w:r>
      <w:r w:rsidR="005C795D">
        <w:rPr>
          <w:rFonts w:cstheme="minorHAnsi"/>
          <w:iCs/>
        </w:rPr>
        <w:t>,</w:t>
      </w:r>
      <w:r w:rsidRPr="009140AB">
        <w:rPr>
          <w:rFonts w:cstheme="minorHAnsi"/>
          <w:iCs/>
        </w:rPr>
        <w:t xml:space="preserve"> </w:t>
      </w:r>
      <w:r w:rsidR="00330ABC" w:rsidRPr="009140AB">
        <w:rPr>
          <w:rFonts w:cstheme="minorHAnsi"/>
          <w:iCs/>
        </w:rPr>
        <w:t xml:space="preserve">another </w:t>
      </w:r>
      <w:r w:rsidR="00330ABC" w:rsidRPr="00C84EF3">
        <w:rPr>
          <w:rFonts w:cstheme="minorHAnsi"/>
          <w:iCs/>
        </w:rPr>
        <w:t xml:space="preserve">supporting </w:t>
      </w:r>
      <w:r w:rsidRPr="00C6689C">
        <w:rPr>
          <w:rFonts w:cstheme="minorHAnsi"/>
          <w:iCs/>
        </w:rPr>
        <w:t>middle grades collaboration</w:t>
      </w:r>
      <w:r w:rsidR="005C795D">
        <w:rPr>
          <w:rFonts w:cstheme="minorHAnsi"/>
          <w:iCs/>
        </w:rPr>
        <w:t>,</w:t>
      </w:r>
      <w:r w:rsidRPr="00C6689C">
        <w:rPr>
          <w:rFonts w:cstheme="minorHAnsi"/>
          <w:iCs/>
        </w:rPr>
        <w:t xml:space="preserve"> </w:t>
      </w:r>
      <w:r w:rsidR="00330ABC" w:rsidRPr="00C6689C">
        <w:rPr>
          <w:rFonts w:cstheme="minorHAnsi"/>
          <w:iCs/>
        </w:rPr>
        <w:t xml:space="preserve">and a third supporting implementation of </w:t>
      </w:r>
      <w:r w:rsidRPr="00C6689C">
        <w:rPr>
          <w:rFonts w:cstheme="minorHAnsi"/>
          <w:iCs/>
        </w:rPr>
        <w:t>early literacy needs and interventions</w:t>
      </w:r>
      <w:r w:rsidR="00330ABC" w:rsidRPr="00640938">
        <w:rPr>
          <w:rFonts w:cstheme="minorHAnsi"/>
          <w:iCs/>
        </w:rPr>
        <w:t>.</w:t>
      </w:r>
    </w:p>
    <w:p w14:paraId="6942D0F8" w14:textId="2B3EE581" w:rsidR="004904F0" w:rsidRPr="00013653" w:rsidRDefault="00391636" w:rsidP="00BC0F52">
      <w:pPr>
        <w:pStyle w:val="ListParagraph"/>
        <w:numPr>
          <w:ilvl w:val="0"/>
          <w:numId w:val="30"/>
        </w:numPr>
        <w:spacing w:after="0" w:line="240" w:lineRule="auto"/>
        <w:jc w:val="both"/>
        <w:rPr>
          <w:rFonts w:cstheme="minorHAnsi"/>
          <w:iCs/>
        </w:rPr>
      </w:pPr>
      <w:r>
        <w:rPr>
          <w:rFonts w:cstheme="minorHAnsi"/>
          <w:iCs/>
        </w:rPr>
        <w:t xml:space="preserve">Clinical supervisors </w:t>
      </w:r>
      <w:r w:rsidR="004904F0">
        <w:rPr>
          <w:rFonts w:cstheme="minorHAnsi"/>
          <w:iCs/>
        </w:rPr>
        <w:t xml:space="preserve">who </w:t>
      </w:r>
      <w:r>
        <w:rPr>
          <w:rFonts w:cstheme="minorHAnsi"/>
          <w:iCs/>
        </w:rPr>
        <w:t>oversee</w:t>
      </w:r>
      <w:r w:rsidR="004904F0">
        <w:rPr>
          <w:rFonts w:cstheme="minorHAnsi"/>
          <w:iCs/>
        </w:rPr>
        <w:t xml:space="preserve"> </w:t>
      </w:r>
      <w:r>
        <w:rPr>
          <w:rFonts w:cstheme="minorHAnsi"/>
          <w:iCs/>
        </w:rPr>
        <w:t xml:space="preserve">COE </w:t>
      </w:r>
      <w:r w:rsidR="003D2FB7">
        <w:rPr>
          <w:rFonts w:cstheme="minorHAnsi"/>
          <w:iCs/>
        </w:rPr>
        <w:t>pre-service</w:t>
      </w:r>
      <w:r w:rsidR="004904F0">
        <w:rPr>
          <w:rFonts w:cstheme="minorHAnsi"/>
          <w:iCs/>
        </w:rPr>
        <w:t xml:space="preserve"> candidates on site at the laboratory school</w:t>
      </w:r>
      <w:r w:rsidR="005C795D">
        <w:rPr>
          <w:rFonts w:cstheme="minorHAnsi"/>
          <w:iCs/>
        </w:rPr>
        <w:t>.</w:t>
      </w:r>
      <w:r w:rsidR="004904F0">
        <w:rPr>
          <w:rFonts w:cstheme="minorHAnsi"/>
          <w:iCs/>
        </w:rPr>
        <w:t xml:space="preserve"> </w:t>
      </w:r>
    </w:p>
    <w:p w14:paraId="45E90EA0" w14:textId="77777777" w:rsidR="00391636" w:rsidRDefault="00391636" w:rsidP="00391636">
      <w:pPr>
        <w:spacing w:after="0" w:line="240" w:lineRule="auto"/>
        <w:ind w:left="360"/>
        <w:rPr>
          <w:rFonts w:cstheme="minorHAnsi"/>
          <w:iCs/>
        </w:rPr>
      </w:pPr>
    </w:p>
    <w:p w14:paraId="68753112" w14:textId="67E929C4" w:rsidR="009140AB" w:rsidRDefault="00391636" w:rsidP="005C795D">
      <w:pPr>
        <w:spacing w:after="0" w:line="240" w:lineRule="auto"/>
        <w:jc w:val="both"/>
        <w:rPr>
          <w:rFonts w:cstheme="minorHAnsi"/>
          <w:iCs/>
        </w:rPr>
      </w:pPr>
      <w:r>
        <w:rPr>
          <w:rFonts w:cstheme="minorHAnsi"/>
          <w:iCs/>
        </w:rPr>
        <w:t>Other faculty have scheduled opportunities</w:t>
      </w:r>
      <w:r w:rsidR="009536DA">
        <w:rPr>
          <w:rFonts w:cstheme="minorHAnsi"/>
          <w:iCs/>
        </w:rPr>
        <w:t>,</w:t>
      </w:r>
      <w:r>
        <w:rPr>
          <w:rFonts w:cstheme="minorHAnsi"/>
          <w:iCs/>
        </w:rPr>
        <w:t xml:space="preserve"> </w:t>
      </w:r>
      <w:r w:rsidR="002772E1">
        <w:rPr>
          <w:rFonts w:cstheme="minorHAnsi"/>
          <w:iCs/>
        </w:rPr>
        <w:t xml:space="preserve">typically </w:t>
      </w:r>
      <w:r>
        <w:rPr>
          <w:rFonts w:cstheme="minorHAnsi"/>
          <w:iCs/>
        </w:rPr>
        <w:t>coordinated through curriculum directors</w:t>
      </w:r>
      <w:r w:rsidR="009536DA">
        <w:rPr>
          <w:rFonts w:cstheme="minorHAnsi"/>
          <w:iCs/>
        </w:rPr>
        <w:t>,</w:t>
      </w:r>
      <w:r>
        <w:rPr>
          <w:rFonts w:cstheme="minorHAnsi"/>
          <w:iCs/>
        </w:rPr>
        <w:t xml:space="preserve"> to provide ad hoc </w:t>
      </w:r>
      <w:r w:rsidR="002772E1">
        <w:rPr>
          <w:rFonts w:cstheme="minorHAnsi"/>
          <w:iCs/>
        </w:rPr>
        <w:t xml:space="preserve">instructional </w:t>
      </w:r>
      <w:r>
        <w:rPr>
          <w:rFonts w:cstheme="minorHAnsi"/>
          <w:iCs/>
        </w:rPr>
        <w:t>support</w:t>
      </w:r>
      <w:r w:rsidR="002772E1">
        <w:rPr>
          <w:rFonts w:cstheme="minorHAnsi"/>
          <w:iCs/>
        </w:rPr>
        <w:t xml:space="preserve"> to laboratory school staff </w:t>
      </w:r>
      <w:r w:rsidRPr="002772E1">
        <w:rPr>
          <w:rFonts w:cstheme="minorHAnsi"/>
          <w:iCs/>
        </w:rPr>
        <w:t>at planning periods</w:t>
      </w:r>
      <w:r w:rsidR="002772E1">
        <w:rPr>
          <w:rFonts w:cstheme="minorHAnsi"/>
          <w:iCs/>
        </w:rPr>
        <w:t xml:space="preserve">, </w:t>
      </w:r>
      <w:r w:rsidRPr="002772E1">
        <w:rPr>
          <w:rFonts w:cstheme="minorHAnsi"/>
          <w:iCs/>
        </w:rPr>
        <w:t>summer institutes</w:t>
      </w:r>
      <w:r w:rsidR="002772E1">
        <w:rPr>
          <w:rFonts w:cstheme="minorHAnsi"/>
          <w:iCs/>
        </w:rPr>
        <w:t>,</w:t>
      </w:r>
      <w:r w:rsidRPr="002772E1">
        <w:rPr>
          <w:rFonts w:cstheme="minorHAnsi"/>
          <w:iCs/>
        </w:rPr>
        <w:t xml:space="preserve"> </w:t>
      </w:r>
      <w:r w:rsidR="000C769F">
        <w:rPr>
          <w:rFonts w:cstheme="minorHAnsi"/>
          <w:iCs/>
        </w:rPr>
        <w:t xml:space="preserve">and </w:t>
      </w:r>
      <w:r w:rsidRPr="002772E1">
        <w:rPr>
          <w:rFonts w:cstheme="minorHAnsi"/>
          <w:iCs/>
        </w:rPr>
        <w:t xml:space="preserve">scheduled </w:t>
      </w:r>
      <w:r w:rsidR="000C769F">
        <w:rPr>
          <w:rFonts w:cstheme="minorHAnsi"/>
          <w:iCs/>
        </w:rPr>
        <w:t xml:space="preserve">professional </w:t>
      </w:r>
      <w:r w:rsidRPr="002772E1">
        <w:rPr>
          <w:rFonts w:cstheme="minorHAnsi"/>
          <w:iCs/>
        </w:rPr>
        <w:t>days (</w:t>
      </w:r>
      <w:r w:rsidR="002E5521">
        <w:rPr>
          <w:rFonts w:cstheme="minorHAnsi"/>
          <w:iCs/>
        </w:rPr>
        <w:t xml:space="preserve">e.g., </w:t>
      </w:r>
      <w:r w:rsidRPr="002772E1">
        <w:rPr>
          <w:rFonts w:cstheme="minorHAnsi"/>
          <w:iCs/>
        </w:rPr>
        <w:t>teacher workdays)</w:t>
      </w:r>
      <w:r w:rsidR="000C769F">
        <w:rPr>
          <w:rFonts w:cstheme="minorHAnsi"/>
          <w:iCs/>
        </w:rPr>
        <w:t xml:space="preserve"> on a range of topics and issues relevant to laboratory schools (e.g., STEM, literacy, SEL)</w:t>
      </w:r>
      <w:r w:rsidR="002772E1">
        <w:rPr>
          <w:rFonts w:cstheme="minorHAnsi"/>
          <w:iCs/>
        </w:rPr>
        <w:t xml:space="preserve">. </w:t>
      </w:r>
      <w:r w:rsidR="002772E1" w:rsidRPr="00391636">
        <w:rPr>
          <w:rFonts w:cstheme="minorHAnsi"/>
          <w:iCs/>
        </w:rPr>
        <w:t>Faculty</w:t>
      </w:r>
      <w:r w:rsidR="009536DA">
        <w:rPr>
          <w:rFonts w:cstheme="minorHAnsi"/>
          <w:iCs/>
        </w:rPr>
        <w:t xml:space="preserve"> </w:t>
      </w:r>
      <w:r w:rsidR="002772E1">
        <w:rPr>
          <w:rFonts w:cstheme="minorHAnsi"/>
          <w:iCs/>
        </w:rPr>
        <w:t>may also</w:t>
      </w:r>
      <w:r w:rsidR="009536DA">
        <w:rPr>
          <w:rFonts w:cstheme="minorHAnsi"/>
          <w:iCs/>
        </w:rPr>
        <w:t xml:space="preserve"> work</w:t>
      </w:r>
      <w:r w:rsidR="002772E1">
        <w:rPr>
          <w:rFonts w:cstheme="minorHAnsi"/>
          <w:iCs/>
        </w:rPr>
        <w:t xml:space="preserve"> individually </w:t>
      </w:r>
      <w:r w:rsidR="002772E1" w:rsidRPr="00391636">
        <w:rPr>
          <w:rFonts w:cstheme="minorHAnsi"/>
          <w:iCs/>
        </w:rPr>
        <w:t xml:space="preserve">with teachers </w:t>
      </w:r>
      <w:r w:rsidR="002772E1">
        <w:rPr>
          <w:rFonts w:cstheme="minorHAnsi"/>
          <w:iCs/>
        </w:rPr>
        <w:t xml:space="preserve">on an as-requested basis </w:t>
      </w:r>
      <w:r w:rsidR="002772E1" w:rsidRPr="00391636">
        <w:rPr>
          <w:rFonts w:cstheme="minorHAnsi"/>
          <w:iCs/>
        </w:rPr>
        <w:t>regarding particular content areas (e.g., science, math, literacy, special education) and instructional strategies</w:t>
      </w:r>
      <w:r w:rsidR="002772E1">
        <w:rPr>
          <w:rFonts w:cstheme="minorHAnsi"/>
          <w:iCs/>
        </w:rPr>
        <w:t xml:space="preserve">. These interactions are reportedly mutually beneficial to COE faculty and laboratory school staff. For example, ECU COE methods instructors who teach their courses at the laboratory school may model strategies in </w:t>
      </w:r>
      <w:r w:rsidR="0040346A">
        <w:rPr>
          <w:rFonts w:cstheme="minorHAnsi"/>
          <w:iCs/>
        </w:rPr>
        <w:t>laboratory school</w:t>
      </w:r>
      <w:r w:rsidR="002772E1">
        <w:rPr>
          <w:rFonts w:cstheme="minorHAnsi"/>
          <w:iCs/>
        </w:rPr>
        <w:t xml:space="preserve"> classrooms </w:t>
      </w:r>
      <w:r w:rsidR="000C769F">
        <w:rPr>
          <w:rFonts w:cstheme="minorHAnsi"/>
          <w:iCs/>
        </w:rPr>
        <w:t>an</w:t>
      </w:r>
      <w:r w:rsidR="00732468">
        <w:rPr>
          <w:rFonts w:cstheme="minorHAnsi"/>
          <w:iCs/>
        </w:rPr>
        <w:t>d</w:t>
      </w:r>
      <w:r w:rsidR="000C769F">
        <w:rPr>
          <w:rFonts w:cstheme="minorHAnsi"/>
          <w:iCs/>
        </w:rPr>
        <w:t xml:space="preserve"> in turn receive feedback from ECU</w:t>
      </w:r>
      <w:r w:rsidR="002E5521">
        <w:rPr>
          <w:rFonts w:cstheme="minorHAnsi"/>
          <w:iCs/>
        </w:rPr>
        <w:t xml:space="preserve"> </w:t>
      </w:r>
      <w:r w:rsidR="000C769F">
        <w:rPr>
          <w:rFonts w:cstheme="minorHAnsi"/>
          <w:iCs/>
        </w:rPr>
        <w:t>C</w:t>
      </w:r>
      <w:r w:rsidR="002E5521">
        <w:rPr>
          <w:rFonts w:cstheme="minorHAnsi"/>
          <w:iCs/>
        </w:rPr>
        <w:t xml:space="preserve">ommunity </w:t>
      </w:r>
      <w:r w:rsidR="000C769F">
        <w:rPr>
          <w:rFonts w:cstheme="minorHAnsi"/>
          <w:iCs/>
        </w:rPr>
        <w:t>S</w:t>
      </w:r>
      <w:r w:rsidR="002E5521">
        <w:rPr>
          <w:rFonts w:cstheme="minorHAnsi"/>
          <w:iCs/>
        </w:rPr>
        <w:t>chool</w:t>
      </w:r>
      <w:r w:rsidR="000C769F">
        <w:rPr>
          <w:rFonts w:cstheme="minorHAnsi"/>
          <w:iCs/>
        </w:rPr>
        <w:t xml:space="preserve"> teachers</w:t>
      </w:r>
      <w:r w:rsidR="002772E1">
        <w:rPr>
          <w:rFonts w:cstheme="minorHAnsi"/>
          <w:iCs/>
        </w:rPr>
        <w:t xml:space="preserve"> </w:t>
      </w:r>
      <w:r w:rsidR="000C769F">
        <w:rPr>
          <w:rFonts w:cstheme="minorHAnsi"/>
          <w:iCs/>
        </w:rPr>
        <w:t xml:space="preserve">that they </w:t>
      </w:r>
      <w:r w:rsidR="002772E1">
        <w:rPr>
          <w:rFonts w:cstheme="minorHAnsi"/>
          <w:iCs/>
        </w:rPr>
        <w:t xml:space="preserve">use to inform their instruction with </w:t>
      </w:r>
      <w:r w:rsidR="000C769F">
        <w:rPr>
          <w:rFonts w:cstheme="minorHAnsi"/>
          <w:iCs/>
        </w:rPr>
        <w:t xml:space="preserve">COE </w:t>
      </w:r>
      <w:r w:rsidR="002772E1">
        <w:rPr>
          <w:rFonts w:cstheme="minorHAnsi"/>
          <w:iCs/>
        </w:rPr>
        <w:t xml:space="preserve">students. </w:t>
      </w:r>
      <w:r w:rsidR="009140AB">
        <w:rPr>
          <w:rFonts w:cstheme="minorHAnsi"/>
          <w:iCs/>
        </w:rPr>
        <w:t xml:space="preserve">Faculty may also work with </w:t>
      </w:r>
      <w:r w:rsidR="009140AB">
        <w:rPr>
          <w:rFonts w:cstheme="minorHAnsi"/>
          <w:iCs/>
        </w:rPr>
        <w:lastRenderedPageBreak/>
        <w:t>laboratory schools on specific initiatives, such as research or professional development. For example, UNCG faculty and grad</w:t>
      </w:r>
      <w:r w:rsidR="0040346A">
        <w:rPr>
          <w:rFonts w:cstheme="minorHAnsi"/>
          <w:iCs/>
        </w:rPr>
        <w:t>uate</w:t>
      </w:r>
      <w:r w:rsidR="009140AB">
        <w:rPr>
          <w:rFonts w:cstheme="minorHAnsi"/>
          <w:iCs/>
        </w:rPr>
        <w:t xml:space="preserve"> students in the UNCG STEM teacher leadership collaborative </w:t>
      </w:r>
      <w:r w:rsidR="0040346A">
        <w:rPr>
          <w:rFonts w:cstheme="minorHAnsi"/>
          <w:iCs/>
        </w:rPr>
        <w:t xml:space="preserve">produced </w:t>
      </w:r>
      <w:r w:rsidR="009140AB">
        <w:rPr>
          <w:rFonts w:cstheme="minorHAnsi"/>
          <w:iCs/>
        </w:rPr>
        <w:t xml:space="preserve">weekly webinars and interactive sessions on STEM topics for laboratory </w:t>
      </w:r>
      <w:proofErr w:type="gramStart"/>
      <w:r w:rsidR="009140AB">
        <w:rPr>
          <w:rFonts w:cstheme="minorHAnsi"/>
          <w:iCs/>
        </w:rPr>
        <w:t>school teachers</w:t>
      </w:r>
      <w:proofErr w:type="gramEnd"/>
      <w:r w:rsidR="009140AB">
        <w:rPr>
          <w:rFonts w:cstheme="minorHAnsi"/>
          <w:iCs/>
        </w:rPr>
        <w:t>.</w:t>
      </w:r>
    </w:p>
    <w:p w14:paraId="7CAECFA2" w14:textId="77777777" w:rsidR="002E5521" w:rsidRDefault="002E5521" w:rsidP="009140AB">
      <w:pPr>
        <w:spacing w:after="0" w:line="240" w:lineRule="auto"/>
        <w:rPr>
          <w:rFonts w:cstheme="minorHAnsi"/>
          <w:iCs/>
        </w:rPr>
      </w:pPr>
    </w:p>
    <w:p w14:paraId="3A47C00D" w14:textId="03DF88AD" w:rsidR="00C508F6" w:rsidRDefault="009140AB" w:rsidP="001C5269">
      <w:pPr>
        <w:spacing w:after="0" w:line="240" w:lineRule="auto"/>
        <w:jc w:val="both"/>
        <w:rPr>
          <w:rFonts w:cstheme="minorHAnsi"/>
          <w:iCs/>
        </w:rPr>
      </w:pPr>
      <w:r>
        <w:rPr>
          <w:rFonts w:cstheme="minorHAnsi"/>
          <w:iCs/>
        </w:rPr>
        <w:t>As COEs continue to work to</w:t>
      </w:r>
      <w:r w:rsidR="009536DA">
        <w:rPr>
          <w:rFonts w:cstheme="minorHAnsi"/>
          <w:iCs/>
        </w:rPr>
        <w:t xml:space="preserve"> systematically</w:t>
      </w:r>
      <w:r>
        <w:rPr>
          <w:rFonts w:cstheme="minorHAnsi"/>
          <w:iCs/>
        </w:rPr>
        <w:t xml:space="preserve"> </w:t>
      </w:r>
      <w:r w:rsidR="00F03A67">
        <w:rPr>
          <w:rFonts w:cstheme="minorHAnsi"/>
          <w:iCs/>
        </w:rPr>
        <w:t xml:space="preserve">increase exposure to the laboratory school across all COE faculty, they </w:t>
      </w:r>
      <w:r>
        <w:rPr>
          <w:rFonts w:cstheme="minorHAnsi"/>
          <w:iCs/>
        </w:rPr>
        <w:t>fac</w:t>
      </w:r>
      <w:r w:rsidR="00F03A67">
        <w:rPr>
          <w:rFonts w:cstheme="minorHAnsi"/>
          <w:iCs/>
        </w:rPr>
        <w:t>e</w:t>
      </w:r>
      <w:r>
        <w:rPr>
          <w:rFonts w:cstheme="minorHAnsi"/>
          <w:iCs/>
        </w:rPr>
        <w:t xml:space="preserve"> </w:t>
      </w:r>
      <w:r w:rsidR="00F03A67">
        <w:rPr>
          <w:rFonts w:cstheme="minorHAnsi"/>
          <w:iCs/>
        </w:rPr>
        <w:t xml:space="preserve">certain hurdles. </w:t>
      </w:r>
      <w:r w:rsidR="0040346A">
        <w:rPr>
          <w:rFonts w:cstheme="minorHAnsi"/>
          <w:iCs/>
        </w:rPr>
        <w:t>COEs must</w:t>
      </w:r>
      <w:r w:rsidR="00F03A67">
        <w:rPr>
          <w:rFonts w:cstheme="minorHAnsi"/>
          <w:iCs/>
        </w:rPr>
        <w:t xml:space="preserve"> manag</w:t>
      </w:r>
      <w:r w:rsidR="0040346A">
        <w:rPr>
          <w:rFonts w:cstheme="minorHAnsi"/>
          <w:iCs/>
        </w:rPr>
        <w:t>e</w:t>
      </w:r>
      <w:r w:rsidR="00F03A67">
        <w:rPr>
          <w:rFonts w:cstheme="minorHAnsi"/>
          <w:iCs/>
        </w:rPr>
        <w:t xml:space="preserve"> </w:t>
      </w:r>
      <w:r w:rsidR="0040346A">
        <w:rPr>
          <w:rFonts w:cstheme="minorHAnsi"/>
          <w:iCs/>
        </w:rPr>
        <w:t xml:space="preserve">the </w:t>
      </w:r>
      <w:r w:rsidR="00F03A67">
        <w:rPr>
          <w:rFonts w:cstheme="minorHAnsi"/>
          <w:iCs/>
        </w:rPr>
        <w:t xml:space="preserve">workload </w:t>
      </w:r>
      <w:r w:rsidR="0040346A">
        <w:rPr>
          <w:rFonts w:cstheme="minorHAnsi"/>
          <w:iCs/>
        </w:rPr>
        <w:t xml:space="preserve">of faculty who are deeply engaged with the laboratory school </w:t>
      </w:r>
      <w:r w:rsidR="00F03A67">
        <w:rPr>
          <w:rFonts w:cstheme="minorHAnsi"/>
          <w:iCs/>
        </w:rPr>
        <w:t>and ensur</w:t>
      </w:r>
      <w:r w:rsidR="0040346A">
        <w:rPr>
          <w:rFonts w:cstheme="minorHAnsi"/>
          <w:iCs/>
        </w:rPr>
        <w:t>e</w:t>
      </w:r>
      <w:r w:rsidR="00F03A67">
        <w:rPr>
          <w:rFonts w:cstheme="minorHAnsi"/>
          <w:iCs/>
        </w:rPr>
        <w:t xml:space="preserve"> that </w:t>
      </w:r>
      <w:r w:rsidR="0040346A">
        <w:rPr>
          <w:rFonts w:cstheme="minorHAnsi"/>
          <w:iCs/>
        </w:rPr>
        <w:t xml:space="preserve">their </w:t>
      </w:r>
      <w:r w:rsidR="00F03A67">
        <w:rPr>
          <w:rFonts w:cstheme="minorHAnsi"/>
          <w:iCs/>
        </w:rPr>
        <w:t xml:space="preserve">engagement is both relevant and compensated. </w:t>
      </w:r>
      <w:r w:rsidR="0040346A">
        <w:rPr>
          <w:rFonts w:cstheme="minorHAnsi"/>
          <w:iCs/>
        </w:rPr>
        <w:t>Some</w:t>
      </w:r>
      <w:r w:rsidR="00014572">
        <w:rPr>
          <w:rFonts w:cstheme="minorHAnsi"/>
          <w:iCs/>
        </w:rPr>
        <w:t xml:space="preserve"> faculty </w:t>
      </w:r>
      <w:r w:rsidR="00F85F9C">
        <w:rPr>
          <w:rFonts w:cstheme="minorHAnsi"/>
          <w:iCs/>
        </w:rPr>
        <w:t>in embedded</w:t>
      </w:r>
      <w:r w:rsidR="00014572">
        <w:rPr>
          <w:rFonts w:cstheme="minorHAnsi"/>
          <w:iCs/>
        </w:rPr>
        <w:t xml:space="preserve"> positions </w:t>
      </w:r>
      <w:r w:rsidR="00F85F9C">
        <w:rPr>
          <w:rFonts w:cstheme="minorHAnsi"/>
          <w:iCs/>
        </w:rPr>
        <w:t>are paid as members of the laboratory school staff</w:t>
      </w:r>
      <w:r w:rsidR="00014572">
        <w:rPr>
          <w:rFonts w:cstheme="minorHAnsi"/>
          <w:iCs/>
        </w:rPr>
        <w:t xml:space="preserve"> </w:t>
      </w:r>
      <w:r w:rsidR="00F85F9C">
        <w:rPr>
          <w:rFonts w:cstheme="minorHAnsi"/>
          <w:iCs/>
        </w:rPr>
        <w:t xml:space="preserve">(e.g., curriculum directors) </w:t>
      </w:r>
      <w:r w:rsidR="00014572">
        <w:rPr>
          <w:rFonts w:cstheme="minorHAnsi"/>
          <w:iCs/>
        </w:rPr>
        <w:t xml:space="preserve">or receive a workload offset or release equivalent to teaching one course (e.g., faculty-in-residence). Other faculty manage their laboratory school engagement in addition to their regular workload. </w:t>
      </w:r>
      <w:r w:rsidR="0040346A">
        <w:rPr>
          <w:rFonts w:cstheme="minorHAnsi"/>
          <w:iCs/>
        </w:rPr>
        <w:t xml:space="preserve">COEs must also work with laboratory school staff </w:t>
      </w:r>
      <w:r w:rsidR="00014572">
        <w:rPr>
          <w:rFonts w:cstheme="minorHAnsi"/>
          <w:iCs/>
        </w:rPr>
        <w:t>to</w:t>
      </w:r>
      <w:r w:rsidR="00F03A67">
        <w:rPr>
          <w:rFonts w:cstheme="minorHAnsi"/>
          <w:iCs/>
        </w:rPr>
        <w:t xml:space="preserve"> appropriately balanc</w:t>
      </w:r>
      <w:r w:rsidR="006210E6">
        <w:rPr>
          <w:rFonts w:cstheme="minorHAnsi"/>
          <w:iCs/>
        </w:rPr>
        <w:t>e</w:t>
      </w:r>
      <w:r w:rsidR="00F03A67">
        <w:rPr>
          <w:rFonts w:cstheme="minorHAnsi"/>
          <w:iCs/>
        </w:rPr>
        <w:t xml:space="preserve"> </w:t>
      </w:r>
      <w:r w:rsidR="00014572">
        <w:rPr>
          <w:rFonts w:cstheme="minorHAnsi"/>
          <w:iCs/>
        </w:rPr>
        <w:t xml:space="preserve">the number of </w:t>
      </w:r>
      <w:r w:rsidR="0040346A">
        <w:rPr>
          <w:rFonts w:cstheme="minorHAnsi"/>
          <w:iCs/>
        </w:rPr>
        <w:t>ad hoc</w:t>
      </w:r>
      <w:r w:rsidR="00014572">
        <w:rPr>
          <w:rFonts w:cstheme="minorHAnsi"/>
          <w:iCs/>
        </w:rPr>
        <w:t xml:space="preserve"> interactions COE faculty have with laboratory school students and teachers </w:t>
      </w:r>
      <w:r w:rsidR="006210E6">
        <w:rPr>
          <w:rFonts w:cstheme="minorHAnsi"/>
          <w:iCs/>
        </w:rPr>
        <w:t xml:space="preserve">against the laboratory school model’s priority on creating </w:t>
      </w:r>
      <w:r w:rsidR="00014572">
        <w:rPr>
          <w:rFonts w:cstheme="minorHAnsi"/>
          <w:iCs/>
        </w:rPr>
        <w:t xml:space="preserve">environments that seek to foster consistent relationships between laboratory school students and the adults supporting them. </w:t>
      </w:r>
    </w:p>
    <w:p w14:paraId="154C09CD" w14:textId="77777777" w:rsidR="00277496" w:rsidRDefault="00277496" w:rsidP="001C5269">
      <w:pPr>
        <w:spacing w:after="0" w:line="240" w:lineRule="auto"/>
        <w:jc w:val="both"/>
        <w:rPr>
          <w:rFonts w:cstheme="minorHAnsi"/>
        </w:rPr>
      </w:pPr>
    </w:p>
    <w:p w14:paraId="232F0779" w14:textId="6668CE81" w:rsidR="005A60F1" w:rsidRDefault="005A60F1" w:rsidP="005A60F1">
      <w:pPr>
        <w:spacing w:after="0" w:line="240" w:lineRule="auto"/>
        <w:rPr>
          <w:rFonts w:cstheme="minorHAnsi"/>
          <w:i/>
        </w:rPr>
      </w:pPr>
      <w:r>
        <w:rPr>
          <w:rFonts w:cstheme="minorHAnsi"/>
          <w:i/>
        </w:rPr>
        <w:t>In-service teachers</w:t>
      </w:r>
    </w:p>
    <w:p w14:paraId="5DC70719" w14:textId="4C30C2C4" w:rsidR="00772A48" w:rsidRDefault="00772A48" w:rsidP="005A60F1">
      <w:pPr>
        <w:spacing w:after="0" w:line="240" w:lineRule="auto"/>
        <w:rPr>
          <w:rFonts w:cstheme="minorHAnsi"/>
          <w:i/>
        </w:rPr>
      </w:pPr>
    </w:p>
    <w:p w14:paraId="353ADDE5" w14:textId="6C475A39" w:rsidR="006210E6" w:rsidRDefault="00716309" w:rsidP="009536DA">
      <w:pPr>
        <w:spacing w:after="0" w:line="240" w:lineRule="auto"/>
        <w:jc w:val="both"/>
        <w:rPr>
          <w:rFonts w:cstheme="minorHAnsi"/>
          <w:iCs/>
        </w:rPr>
      </w:pPr>
      <w:r>
        <w:rPr>
          <w:rFonts w:cstheme="minorHAnsi"/>
          <w:iCs/>
        </w:rPr>
        <w:t>The l</w:t>
      </w:r>
      <w:r w:rsidR="00CA452D">
        <w:rPr>
          <w:rFonts w:cstheme="minorHAnsi"/>
          <w:iCs/>
        </w:rPr>
        <w:t>ab</w:t>
      </w:r>
      <w:r>
        <w:rPr>
          <w:rFonts w:cstheme="minorHAnsi"/>
          <w:iCs/>
        </w:rPr>
        <w:t>oratory</w:t>
      </w:r>
      <w:r w:rsidR="00CA452D">
        <w:rPr>
          <w:rFonts w:cstheme="minorHAnsi"/>
          <w:iCs/>
        </w:rPr>
        <w:t xml:space="preserve"> school model provides </w:t>
      </w:r>
      <w:r w:rsidR="00C6689C">
        <w:rPr>
          <w:rFonts w:cstheme="minorHAnsi"/>
          <w:iCs/>
        </w:rPr>
        <w:t xml:space="preserve">various </w:t>
      </w:r>
      <w:r w:rsidR="00CA452D">
        <w:rPr>
          <w:rFonts w:cstheme="minorHAnsi"/>
          <w:iCs/>
        </w:rPr>
        <w:t xml:space="preserve">opportunities for </w:t>
      </w:r>
      <w:r w:rsidR="006210E6">
        <w:rPr>
          <w:rFonts w:cstheme="minorHAnsi"/>
          <w:iCs/>
        </w:rPr>
        <w:t xml:space="preserve">laboratory </w:t>
      </w:r>
      <w:proofErr w:type="gramStart"/>
      <w:r w:rsidR="006210E6">
        <w:rPr>
          <w:rFonts w:cstheme="minorHAnsi"/>
          <w:iCs/>
        </w:rPr>
        <w:t xml:space="preserve">school </w:t>
      </w:r>
      <w:r w:rsidR="00CA452D">
        <w:rPr>
          <w:rFonts w:cstheme="minorHAnsi"/>
          <w:iCs/>
        </w:rPr>
        <w:t>teachers</w:t>
      </w:r>
      <w:proofErr w:type="gramEnd"/>
      <w:r w:rsidR="00CA452D">
        <w:rPr>
          <w:rFonts w:cstheme="minorHAnsi"/>
          <w:iCs/>
        </w:rPr>
        <w:t xml:space="preserve"> to grow in their profession</w:t>
      </w:r>
      <w:r w:rsidR="00C6689C">
        <w:rPr>
          <w:rFonts w:cstheme="minorHAnsi"/>
          <w:iCs/>
        </w:rPr>
        <w:t xml:space="preserve">. </w:t>
      </w:r>
      <w:r w:rsidR="00804707">
        <w:rPr>
          <w:rFonts w:cstheme="minorHAnsi"/>
          <w:iCs/>
        </w:rPr>
        <w:t xml:space="preserve">As described herein, laboratory school </w:t>
      </w:r>
      <w:r w:rsidR="00DA2B31">
        <w:rPr>
          <w:rFonts w:cstheme="minorHAnsi"/>
          <w:iCs/>
        </w:rPr>
        <w:t>staff work alongside COE</w:t>
      </w:r>
      <w:r w:rsidR="00D809E9">
        <w:rPr>
          <w:rFonts w:cstheme="minorHAnsi"/>
          <w:iCs/>
        </w:rPr>
        <w:t xml:space="preserve"> faculty</w:t>
      </w:r>
      <w:r w:rsidR="00DA2B31">
        <w:rPr>
          <w:rFonts w:cstheme="minorHAnsi"/>
          <w:iCs/>
        </w:rPr>
        <w:t xml:space="preserve"> embedded in the laboratory school as instructional/curriculum directors, faculty-in-residence, or clinical supervisors and receive direct instructional supports and ad hoc consulting. </w:t>
      </w:r>
    </w:p>
    <w:p w14:paraId="0F7B8DF9" w14:textId="77777777" w:rsidR="006210E6" w:rsidRDefault="006210E6" w:rsidP="009536DA">
      <w:pPr>
        <w:spacing w:after="0" w:line="240" w:lineRule="auto"/>
        <w:jc w:val="both"/>
        <w:rPr>
          <w:rFonts w:cstheme="minorHAnsi"/>
          <w:iCs/>
        </w:rPr>
      </w:pPr>
    </w:p>
    <w:p w14:paraId="28430212" w14:textId="5EC0EE9B" w:rsidR="00732468" w:rsidRDefault="00DA2B31" w:rsidP="009536DA">
      <w:pPr>
        <w:spacing w:after="0" w:line="240" w:lineRule="auto"/>
        <w:jc w:val="both"/>
        <w:rPr>
          <w:rFonts w:cstheme="minorHAnsi"/>
          <w:iCs/>
        </w:rPr>
      </w:pPr>
      <w:r>
        <w:rPr>
          <w:rFonts w:cstheme="minorHAnsi"/>
          <w:iCs/>
        </w:rPr>
        <w:t xml:space="preserve">They also receive professional development from COE faculty on </w:t>
      </w:r>
      <w:r>
        <w:t>instructional supports (e.g., using interim assessments, standards based report cards, differentiated instruction strategies, science of reading, MTSS</w:t>
      </w:r>
      <w:r w:rsidR="00E66272">
        <w:t>, PBIS and restorative practices</w:t>
      </w:r>
      <w:r>
        <w:t>) and other university partners on topics relevant to addressing their students</w:t>
      </w:r>
      <w:r w:rsidR="00D809E9">
        <w:t>’</w:t>
      </w:r>
      <w:r w:rsidR="00E66272">
        <w:t xml:space="preserve"> holistic</w:t>
      </w:r>
      <w:r w:rsidR="006210E6">
        <w:t xml:space="preserve"> needs</w:t>
      </w:r>
      <w:r w:rsidR="00E66272">
        <w:t xml:space="preserve"> (e.g., trauma</w:t>
      </w:r>
      <w:r w:rsidR="006210E6">
        <w:t>, behavior management</w:t>
      </w:r>
      <w:r w:rsidR="00E66272">
        <w:t xml:space="preserve">). In 2019-20, laboratory school staff exercised greater influence on the professional development that COE faculty provided. For example, at </w:t>
      </w:r>
      <w:r w:rsidR="00D809E9">
        <w:t xml:space="preserve">the </w:t>
      </w:r>
      <w:r w:rsidR="00E66272">
        <w:t xml:space="preserve">ECU </w:t>
      </w:r>
      <w:r w:rsidR="007013E4">
        <w:t xml:space="preserve">Community School </w:t>
      </w:r>
      <w:r w:rsidR="00E66272">
        <w:t xml:space="preserve">and </w:t>
      </w:r>
      <w:r w:rsidR="007013E4">
        <w:t>Moss Street Partnership School (</w:t>
      </w:r>
      <w:r w:rsidR="00E66272">
        <w:t>UNCG</w:t>
      </w:r>
      <w:r w:rsidR="007013E4">
        <w:t>)</w:t>
      </w:r>
      <w:r w:rsidR="00E66272">
        <w:t>, curriculum directors worked with school st</w:t>
      </w:r>
      <w:r w:rsidR="0043455F">
        <w:t xml:space="preserve">aff </w:t>
      </w:r>
      <w:r w:rsidR="00E66272">
        <w:t xml:space="preserve">to identify topics of interest aligned with laboratory school practices and/or challenges and </w:t>
      </w:r>
      <w:r w:rsidR="006210E6">
        <w:t xml:space="preserve">then </w:t>
      </w:r>
      <w:r w:rsidR="0043455F">
        <w:t>coordinated COE faculty to provide professional development consistent with staff suggestions.</w:t>
      </w:r>
    </w:p>
    <w:p w14:paraId="6039AC23" w14:textId="77777777" w:rsidR="00732468" w:rsidRDefault="00732468" w:rsidP="009536DA">
      <w:pPr>
        <w:spacing w:after="0" w:line="240" w:lineRule="auto"/>
        <w:jc w:val="both"/>
        <w:rPr>
          <w:rFonts w:cstheme="minorHAnsi"/>
          <w:iCs/>
        </w:rPr>
      </w:pPr>
    </w:p>
    <w:p w14:paraId="73BB3753" w14:textId="314C9967" w:rsidR="00732468" w:rsidRPr="00D809E9" w:rsidRDefault="00732468" w:rsidP="009536DA">
      <w:pPr>
        <w:spacing w:after="0" w:line="240" w:lineRule="auto"/>
        <w:jc w:val="both"/>
        <w:rPr>
          <w:rFonts w:cstheme="minorHAnsi"/>
          <w:iCs/>
        </w:rPr>
      </w:pPr>
      <w:r>
        <w:rPr>
          <w:rFonts w:cstheme="minorHAnsi"/>
          <w:iCs/>
        </w:rPr>
        <w:t xml:space="preserve">Laboratory school staff also have </w:t>
      </w:r>
      <w:r w:rsidR="00C745CF">
        <w:rPr>
          <w:rFonts w:cstheme="minorHAnsi"/>
          <w:iCs/>
        </w:rPr>
        <w:t xml:space="preserve">opportunities at COEs to pursue professional growth. </w:t>
      </w:r>
      <w:r w:rsidR="00D809E9">
        <w:rPr>
          <w:rFonts w:cstheme="minorHAnsi"/>
          <w:iCs/>
        </w:rPr>
        <w:t xml:space="preserve">In 2019-20 laboratory school staff were enrolled in certification or advanced degree courses at partner COEs. For example, </w:t>
      </w:r>
      <w:r w:rsidR="007E6BA2" w:rsidRPr="0043455F">
        <w:rPr>
          <w:rFonts w:cstheme="minorHAnsi"/>
          <w:iCs/>
        </w:rPr>
        <w:t xml:space="preserve">teacher assistants may take </w:t>
      </w:r>
      <w:r w:rsidR="003F1DA3" w:rsidRPr="0043455F">
        <w:rPr>
          <w:rFonts w:cstheme="minorHAnsi"/>
          <w:iCs/>
        </w:rPr>
        <w:t xml:space="preserve">undergraduate </w:t>
      </w:r>
      <w:r w:rsidR="00C755BA" w:rsidRPr="0043455F">
        <w:rPr>
          <w:rFonts w:cstheme="minorHAnsi"/>
          <w:iCs/>
        </w:rPr>
        <w:t>course</w:t>
      </w:r>
      <w:r w:rsidR="007E6BA2" w:rsidRPr="0043455F">
        <w:rPr>
          <w:rFonts w:cstheme="minorHAnsi"/>
          <w:iCs/>
        </w:rPr>
        <w:t>s and teachers may take</w:t>
      </w:r>
      <w:r w:rsidR="007B3667" w:rsidRPr="0043455F">
        <w:rPr>
          <w:rFonts w:cstheme="minorHAnsi"/>
          <w:iCs/>
        </w:rPr>
        <w:t xml:space="preserve"> </w:t>
      </w:r>
      <w:r w:rsidR="003F1DA3" w:rsidRPr="0043455F">
        <w:rPr>
          <w:rFonts w:cstheme="minorHAnsi"/>
          <w:iCs/>
        </w:rPr>
        <w:t xml:space="preserve">certification </w:t>
      </w:r>
      <w:r w:rsidR="00772A48" w:rsidRPr="0043455F">
        <w:rPr>
          <w:rFonts w:cstheme="minorHAnsi"/>
          <w:iCs/>
        </w:rPr>
        <w:t>course</w:t>
      </w:r>
      <w:r w:rsidR="007E6BA2" w:rsidRPr="0043455F">
        <w:rPr>
          <w:rFonts w:cstheme="minorHAnsi"/>
          <w:iCs/>
        </w:rPr>
        <w:t>s</w:t>
      </w:r>
      <w:r w:rsidR="003F1DA3" w:rsidRPr="0043455F">
        <w:rPr>
          <w:rFonts w:cstheme="minorHAnsi"/>
          <w:iCs/>
        </w:rPr>
        <w:t xml:space="preserve"> </w:t>
      </w:r>
      <w:r w:rsidR="007B3667" w:rsidRPr="0043455F">
        <w:rPr>
          <w:rFonts w:cstheme="minorHAnsi"/>
          <w:iCs/>
        </w:rPr>
        <w:t xml:space="preserve">or </w:t>
      </w:r>
      <w:r w:rsidR="007E6BA2" w:rsidRPr="0043455F">
        <w:rPr>
          <w:rFonts w:cstheme="minorHAnsi"/>
          <w:iCs/>
        </w:rPr>
        <w:t xml:space="preserve">enroll in </w:t>
      </w:r>
      <w:r w:rsidR="007B3667" w:rsidRPr="0043455F">
        <w:rPr>
          <w:rFonts w:cstheme="minorHAnsi"/>
          <w:iCs/>
        </w:rPr>
        <w:t>grad</w:t>
      </w:r>
      <w:r w:rsidR="007E6BA2" w:rsidRPr="0043455F">
        <w:rPr>
          <w:rFonts w:cstheme="minorHAnsi"/>
          <w:iCs/>
        </w:rPr>
        <w:t>uate</w:t>
      </w:r>
      <w:r w:rsidR="007B3667" w:rsidRPr="0043455F">
        <w:rPr>
          <w:rFonts w:cstheme="minorHAnsi"/>
          <w:iCs/>
        </w:rPr>
        <w:t xml:space="preserve"> programs </w:t>
      </w:r>
      <w:r w:rsidR="007E6BA2" w:rsidRPr="0043455F">
        <w:rPr>
          <w:rFonts w:cstheme="minorHAnsi"/>
          <w:iCs/>
        </w:rPr>
        <w:t xml:space="preserve">at </w:t>
      </w:r>
      <w:r w:rsidR="003F1DA3" w:rsidRPr="0043455F">
        <w:rPr>
          <w:rFonts w:cstheme="minorHAnsi"/>
          <w:iCs/>
        </w:rPr>
        <w:t>ECU</w:t>
      </w:r>
      <w:r w:rsidR="0043455F" w:rsidRPr="0043455F">
        <w:rPr>
          <w:rFonts w:cstheme="minorHAnsi"/>
          <w:iCs/>
        </w:rPr>
        <w:t xml:space="preserve"> and</w:t>
      </w:r>
      <w:r w:rsidR="003F1DA3" w:rsidRPr="0043455F">
        <w:rPr>
          <w:rFonts w:cstheme="minorHAnsi"/>
          <w:iCs/>
        </w:rPr>
        <w:t xml:space="preserve"> </w:t>
      </w:r>
      <w:r w:rsidR="007E6BA2" w:rsidRPr="0043455F">
        <w:rPr>
          <w:rFonts w:cstheme="minorHAnsi"/>
          <w:iCs/>
        </w:rPr>
        <w:t>UNCG</w:t>
      </w:r>
      <w:r w:rsidR="0043455F" w:rsidRPr="0043455F">
        <w:rPr>
          <w:rFonts w:cstheme="minorHAnsi"/>
          <w:iCs/>
        </w:rPr>
        <w:t xml:space="preserve">. </w:t>
      </w:r>
      <w:r w:rsidR="003F1DA3" w:rsidRPr="0043455F">
        <w:rPr>
          <w:rFonts w:cstheme="minorHAnsi"/>
          <w:iCs/>
        </w:rPr>
        <w:t>App</w:t>
      </w:r>
      <w:r w:rsidR="007E6BA2" w:rsidRPr="0043455F">
        <w:rPr>
          <w:rFonts w:cstheme="minorHAnsi"/>
          <w:iCs/>
        </w:rPr>
        <w:t>alachian</w:t>
      </w:r>
      <w:r w:rsidR="003F1DA3" w:rsidRPr="0043455F">
        <w:rPr>
          <w:rFonts w:cstheme="minorHAnsi"/>
          <w:iCs/>
        </w:rPr>
        <w:t xml:space="preserve"> State</w:t>
      </w:r>
      <w:r w:rsidR="007B3667" w:rsidRPr="0043455F">
        <w:rPr>
          <w:rFonts w:cstheme="minorHAnsi"/>
          <w:iCs/>
        </w:rPr>
        <w:t xml:space="preserve">, </w:t>
      </w:r>
      <w:r w:rsidR="007E6BA2" w:rsidRPr="0043455F">
        <w:rPr>
          <w:rFonts w:cstheme="minorHAnsi"/>
          <w:iCs/>
        </w:rPr>
        <w:t xml:space="preserve">ECU, and </w:t>
      </w:r>
      <w:r w:rsidR="007B3667" w:rsidRPr="0043455F">
        <w:rPr>
          <w:rFonts w:cstheme="minorHAnsi"/>
          <w:iCs/>
        </w:rPr>
        <w:t xml:space="preserve">UNCG have teachers </w:t>
      </w:r>
      <w:r w:rsidR="007E6BA2" w:rsidRPr="0043455F">
        <w:rPr>
          <w:rFonts w:cstheme="minorHAnsi"/>
          <w:iCs/>
        </w:rPr>
        <w:t xml:space="preserve">currently </w:t>
      </w:r>
      <w:r w:rsidR="007B3667" w:rsidRPr="0043455F">
        <w:rPr>
          <w:rFonts w:cstheme="minorHAnsi"/>
          <w:iCs/>
        </w:rPr>
        <w:t>enroll</w:t>
      </w:r>
      <w:r w:rsidR="007E6BA2" w:rsidRPr="0043455F">
        <w:rPr>
          <w:rFonts w:cstheme="minorHAnsi"/>
          <w:iCs/>
        </w:rPr>
        <w:t>ed</w:t>
      </w:r>
      <w:r w:rsidR="007B3667" w:rsidRPr="0043455F">
        <w:rPr>
          <w:rFonts w:cstheme="minorHAnsi"/>
          <w:iCs/>
        </w:rPr>
        <w:t xml:space="preserve"> in </w:t>
      </w:r>
      <w:proofErr w:type="gramStart"/>
      <w:r w:rsidR="007B3667" w:rsidRPr="0043455F">
        <w:rPr>
          <w:rFonts w:cstheme="minorHAnsi"/>
          <w:iCs/>
        </w:rPr>
        <w:t xml:space="preserve">Master </w:t>
      </w:r>
      <w:r w:rsidR="007E6BA2" w:rsidRPr="0043455F">
        <w:rPr>
          <w:rFonts w:cstheme="minorHAnsi"/>
          <w:iCs/>
        </w:rPr>
        <w:t xml:space="preserve">in </w:t>
      </w:r>
      <w:r w:rsidR="007B3667" w:rsidRPr="0043455F">
        <w:rPr>
          <w:rFonts w:cstheme="minorHAnsi"/>
          <w:iCs/>
        </w:rPr>
        <w:t>Ed</w:t>
      </w:r>
      <w:r w:rsidR="007E6BA2" w:rsidRPr="0043455F">
        <w:rPr>
          <w:rFonts w:cstheme="minorHAnsi"/>
          <w:iCs/>
        </w:rPr>
        <w:t>ucation</w:t>
      </w:r>
      <w:proofErr w:type="gramEnd"/>
      <w:r w:rsidR="007E6BA2" w:rsidRPr="0043455F">
        <w:rPr>
          <w:rFonts w:cstheme="minorHAnsi"/>
          <w:iCs/>
        </w:rPr>
        <w:t xml:space="preserve"> or </w:t>
      </w:r>
      <w:r w:rsidR="007B3667" w:rsidRPr="0043455F">
        <w:rPr>
          <w:rFonts w:cstheme="minorHAnsi"/>
          <w:iCs/>
        </w:rPr>
        <w:t>Literacy programs</w:t>
      </w:r>
      <w:r w:rsidR="007E6BA2" w:rsidRPr="0043455F">
        <w:rPr>
          <w:rFonts w:cstheme="minorHAnsi"/>
          <w:iCs/>
        </w:rPr>
        <w:t>.</w:t>
      </w:r>
      <w:r w:rsidR="007E6BA2">
        <w:rPr>
          <w:rFonts w:cstheme="minorHAnsi"/>
          <w:iCs/>
        </w:rPr>
        <w:t xml:space="preserve"> </w:t>
      </w:r>
    </w:p>
    <w:p w14:paraId="0923E7D4" w14:textId="77777777" w:rsidR="00CB4EC2" w:rsidRDefault="00CB4EC2" w:rsidP="004B2E73">
      <w:pPr>
        <w:spacing w:after="0" w:line="240" w:lineRule="auto"/>
        <w:jc w:val="both"/>
        <w:rPr>
          <w:rFonts w:cstheme="minorHAnsi"/>
        </w:rPr>
      </w:pPr>
    </w:p>
    <w:p w14:paraId="0C801531" w14:textId="514259E1" w:rsidR="003A23F3" w:rsidRDefault="04C1C260" w:rsidP="04C1C260">
      <w:pPr>
        <w:jc w:val="both"/>
        <w:rPr>
          <w:b/>
          <w:bCs/>
          <w:i/>
          <w:iCs/>
        </w:rPr>
      </w:pPr>
      <w:r w:rsidRPr="04C1C260">
        <w:rPr>
          <w:b/>
          <w:bCs/>
          <w:i/>
          <w:iCs/>
        </w:rPr>
        <w:t>How have the UNC System and its constituent institutions set up laboratory schools to grow and sustain?</w:t>
      </w:r>
    </w:p>
    <w:p w14:paraId="5AAB96AF" w14:textId="006C926C" w:rsidR="001145DC" w:rsidRDefault="00CC5E60" w:rsidP="00D2092A">
      <w:pPr>
        <w:spacing w:after="0" w:line="240" w:lineRule="auto"/>
        <w:jc w:val="both"/>
      </w:pPr>
      <w:r>
        <w:t>T</w:t>
      </w:r>
      <w:r w:rsidR="00551B58">
        <w:t xml:space="preserve">he </w:t>
      </w:r>
      <w:r w:rsidR="00424247" w:rsidRPr="005434CB">
        <w:t xml:space="preserve">early years of laboratory school implementation </w:t>
      </w:r>
      <w:r>
        <w:t xml:space="preserve">surfaced </w:t>
      </w:r>
      <w:r w:rsidR="00424247" w:rsidRPr="005434CB">
        <w:t xml:space="preserve">key concerns </w:t>
      </w:r>
      <w:r>
        <w:t xml:space="preserve">among </w:t>
      </w:r>
      <w:r w:rsidR="00ED03F4">
        <w:t>stakeholders</w:t>
      </w:r>
      <w:r w:rsidR="001145DC">
        <w:t xml:space="preserve"> regarding the length of time COEs would operate laboratory schools and the adequacy of financial resources to serve a concentrated population of highest need students. </w:t>
      </w:r>
      <w:r>
        <w:t>I</w:t>
      </w:r>
      <w:r w:rsidR="00E418BF">
        <w:t>n the three years since the first two laboratory schools</w:t>
      </w:r>
      <w:r w:rsidR="001145DC">
        <w:t xml:space="preserve"> opened, changes in the laboratory school legislation have clarified expectations at the five-year renewal. Likewise, laboratory schools are becoming increasingly institutionalized within UNC System institutions.</w:t>
      </w:r>
    </w:p>
    <w:p w14:paraId="12546A9B" w14:textId="77777777" w:rsidR="001145DC" w:rsidRDefault="001145DC" w:rsidP="00D2092A">
      <w:pPr>
        <w:spacing w:after="0" w:line="240" w:lineRule="auto"/>
        <w:jc w:val="both"/>
      </w:pPr>
    </w:p>
    <w:p w14:paraId="147B7E44" w14:textId="769BC20C" w:rsidR="00500604" w:rsidRDefault="00CC5E60" w:rsidP="00C70B59">
      <w:pPr>
        <w:spacing w:after="0" w:line="240" w:lineRule="auto"/>
        <w:jc w:val="both"/>
      </w:pPr>
      <w:r>
        <w:t>Nonetheless</w:t>
      </w:r>
      <w:r w:rsidR="00091202">
        <w:t xml:space="preserve">, laboratory schools </w:t>
      </w:r>
      <w:r w:rsidR="00ED03F4">
        <w:t>still have challenges to address.</w:t>
      </w:r>
      <w:r w:rsidR="00424247">
        <w:t xml:space="preserve"> </w:t>
      </w:r>
      <w:r w:rsidR="00091202">
        <w:t xml:space="preserve">Not all COE faculty or students are engaged with the laboratory school and </w:t>
      </w:r>
      <w:r w:rsidR="00623A3A">
        <w:t xml:space="preserve">depth of engagement varies </w:t>
      </w:r>
      <w:r w:rsidR="00F16A75">
        <w:t>among those who are</w:t>
      </w:r>
      <w:r w:rsidR="00500604">
        <w:t xml:space="preserve">. Changes in </w:t>
      </w:r>
      <w:r w:rsidR="00500604">
        <w:lastRenderedPageBreak/>
        <w:t xml:space="preserve">the COE faculty and </w:t>
      </w:r>
      <w:r w:rsidR="003D2FB7">
        <w:t>pre-service</w:t>
      </w:r>
      <w:r w:rsidR="00500604">
        <w:t xml:space="preserve"> candidates who engage with the laboratory school necessitate that laboratory school staff and students establish new relationships with COE personnel and students</w:t>
      </w:r>
      <w:r w:rsidR="005A223A">
        <w:t xml:space="preserve"> on a frequent basis</w:t>
      </w:r>
      <w:r w:rsidR="00500604">
        <w:t xml:space="preserve">. Further, COEs continue to subsidize laboratory school budgets to close gaps between ADM and other public funds and actual laboratory school operating budgets. The COVID-19 pandemic, which resulted in NC schools transitioning to remote learning in March 2020 and continuing when the 2020-21 school year began is predicted to widen learning gaps and </w:t>
      </w:r>
      <w:r w:rsidR="005A223A">
        <w:t>reduce state revenue. Though laboratory school leaders voice optimism for long-term outcomes, whether laboratory schools can grow and sustain may hinge on how well they can address student needs in a changed statewide budget landscape.</w:t>
      </w:r>
    </w:p>
    <w:p w14:paraId="1D1B62A9" w14:textId="77777777" w:rsidR="00500604" w:rsidRDefault="00500604" w:rsidP="00C70B59">
      <w:pPr>
        <w:spacing w:after="0" w:line="240" w:lineRule="auto"/>
        <w:jc w:val="both"/>
      </w:pPr>
    </w:p>
    <w:p w14:paraId="5C02C690" w14:textId="1A54B257" w:rsidR="003A23F3" w:rsidRDefault="003A23F3" w:rsidP="00936E98">
      <w:pPr>
        <w:spacing w:after="0" w:line="240" w:lineRule="auto"/>
        <w:rPr>
          <w:szCs w:val="28"/>
        </w:rPr>
      </w:pPr>
      <w:r w:rsidRPr="00432FD2">
        <w:rPr>
          <w:b/>
          <w:sz w:val="28"/>
          <w:szCs w:val="28"/>
        </w:rPr>
        <w:t>Summary</w:t>
      </w:r>
    </w:p>
    <w:p w14:paraId="672F3A09" w14:textId="77777777" w:rsidR="00936E98" w:rsidRDefault="00936E98" w:rsidP="00936E98">
      <w:pPr>
        <w:spacing w:after="0" w:line="240" w:lineRule="auto"/>
        <w:rPr>
          <w:szCs w:val="28"/>
        </w:rPr>
      </w:pPr>
    </w:p>
    <w:p w14:paraId="339C3A35" w14:textId="527A76BD" w:rsidR="00A75DF7" w:rsidRDefault="00A75DF7" w:rsidP="00A75DF7">
      <w:pPr>
        <w:autoSpaceDE w:val="0"/>
        <w:autoSpaceDN w:val="0"/>
        <w:adjustRightInd w:val="0"/>
        <w:spacing w:after="0" w:line="240" w:lineRule="auto"/>
        <w:jc w:val="both"/>
        <w:rPr>
          <w:rFonts w:ascii="Calibri" w:hAnsi="Calibri" w:cs="Calibri"/>
        </w:rPr>
      </w:pPr>
      <w:r>
        <w:rPr>
          <w:rFonts w:ascii="Calibri" w:hAnsi="Calibri" w:cs="Calibri"/>
        </w:rPr>
        <w:t xml:space="preserve">In 2016 the North Carolina General Assembly passed legislation requiring the UNC System BOG and UNC System institutions to establish laboratory schools. The mission of UNC System laboratory schools is twofold: to provide an enhanced education program for students who are low-performing or attended a low-performing school and to provide exposure and training for teachers and school leaders to successfully address challenges existing in high-needs school settings. Four years later, UNC System institutions have opened six laboratory schools that collectively serve </w:t>
      </w:r>
      <w:r w:rsidR="000B1EE4">
        <w:rPr>
          <w:rFonts w:ascii="Calibri" w:hAnsi="Calibri" w:cs="Calibri"/>
        </w:rPr>
        <w:t xml:space="preserve">more than 1,000 </w:t>
      </w:r>
      <w:r>
        <w:rPr>
          <w:rFonts w:ascii="Calibri" w:hAnsi="Calibri" w:cs="Calibri"/>
        </w:rPr>
        <w:t xml:space="preserve">students. It remains too early to fully assess whether laboratory schools are meeting their stated mission, especially </w:t>
      </w:r>
      <w:r w:rsidR="00ED55DD">
        <w:rPr>
          <w:rFonts w:ascii="Calibri" w:hAnsi="Calibri" w:cs="Calibri"/>
        </w:rPr>
        <w:t xml:space="preserve">given </w:t>
      </w:r>
      <w:r>
        <w:rPr>
          <w:rFonts w:ascii="Calibri" w:hAnsi="Calibri" w:cs="Calibri"/>
        </w:rPr>
        <w:t>COVID-19 and the lack of student achievement and survey data from spring 2020. However, evidence to date highlights areas of success and challenge.</w:t>
      </w:r>
    </w:p>
    <w:p w14:paraId="3365D5F1" w14:textId="77777777" w:rsidR="00A75DF7" w:rsidRDefault="00A75DF7" w:rsidP="00F03D92">
      <w:pPr>
        <w:autoSpaceDE w:val="0"/>
        <w:autoSpaceDN w:val="0"/>
        <w:adjustRightInd w:val="0"/>
        <w:spacing w:after="0" w:line="240" w:lineRule="auto"/>
        <w:rPr>
          <w:rFonts w:ascii="Calibri" w:hAnsi="Calibri" w:cs="Calibri"/>
        </w:rPr>
      </w:pPr>
    </w:p>
    <w:p w14:paraId="170215E7" w14:textId="6AEBDCAE" w:rsidR="00F03D92" w:rsidRDefault="001B7917" w:rsidP="001B7917">
      <w:pPr>
        <w:autoSpaceDE w:val="0"/>
        <w:autoSpaceDN w:val="0"/>
        <w:adjustRightInd w:val="0"/>
        <w:spacing w:after="0" w:line="240" w:lineRule="auto"/>
        <w:jc w:val="both"/>
        <w:rPr>
          <w:rFonts w:cstheme="minorHAnsi"/>
        </w:rPr>
      </w:pPr>
      <w:r>
        <w:rPr>
          <w:rFonts w:cstheme="minorHAnsi"/>
        </w:rPr>
        <w:t xml:space="preserve">Experienced gained over several years of operating laboratory schools has smoothed over some of the implementation challenges that previously existed. The benefits of increased familiarity with K-12 systems and the institutionalization of operating policies and practices also accrue to newer laboratory schools primarily through formal and informal communities of practice among laboratory school leaders (e.g., school principals and COE deans and designees) and staff in university administrative offices that support laboratory schools. However, funding adequacy for laboratory schools remains a challenge. The UNC System and COEs continue to supplement regular </w:t>
      </w:r>
      <w:proofErr w:type="gramStart"/>
      <w:r>
        <w:rPr>
          <w:rFonts w:cstheme="minorHAnsi"/>
        </w:rPr>
        <w:t>public school</w:t>
      </w:r>
      <w:proofErr w:type="gramEnd"/>
      <w:r>
        <w:rPr>
          <w:rFonts w:cstheme="minorHAnsi"/>
        </w:rPr>
        <w:t xml:space="preserve"> funding streams. Whether 2020 legislative amendments that redistributed costs borne by laboratory school district partners provide intended relief remains to be seen given the fiscal challenges schools will likely face due to the COVID-19 pandemic.</w:t>
      </w:r>
    </w:p>
    <w:p w14:paraId="675CB89A" w14:textId="6B22C841" w:rsidR="001B7917" w:rsidRDefault="001B7917" w:rsidP="001B7917">
      <w:pPr>
        <w:autoSpaceDE w:val="0"/>
        <w:autoSpaceDN w:val="0"/>
        <w:adjustRightInd w:val="0"/>
        <w:spacing w:after="0" w:line="240" w:lineRule="auto"/>
        <w:jc w:val="both"/>
        <w:rPr>
          <w:rFonts w:cstheme="minorHAnsi"/>
        </w:rPr>
      </w:pPr>
    </w:p>
    <w:p w14:paraId="30695D6D" w14:textId="16F9897A" w:rsidR="001B7917" w:rsidRDefault="001B7917" w:rsidP="001B7917">
      <w:pPr>
        <w:autoSpaceDE w:val="0"/>
        <w:autoSpaceDN w:val="0"/>
        <w:adjustRightInd w:val="0"/>
        <w:spacing w:after="0" w:line="240" w:lineRule="auto"/>
        <w:jc w:val="both"/>
        <w:rPr>
          <w:rFonts w:cstheme="minorHAnsi"/>
        </w:rPr>
      </w:pPr>
      <w:r>
        <w:rPr>
          <w:rFonts w:cstheme="minorHAnsi"/>
        </w:rPr>
        <w:t>A</w:t>
      </w:r>
      <w:r w:rsidR="00915E6A">
        <w:rPr>
          <w:rFonts w:cstheme="minorHAnsi"/>
        </w:rPr>
        <w:t xml:space="preserve">s COEs have gained experience with laboratory schools, they have also refined how they engage faculty and pre-service candidates in them. Laboratory schools offer COE faculty unique exposure to the practical challenges of teaching and leading in schools and improving outcomes for high-need students while also providing schools serving high-need students with access to COE and university resources. Deeper engagement by COE faculty onsite at laboratory schools and junior year pre-service candidates (most notably through methods classes) promotes consistent COE presence and exposure to learning and teaching challenges in high-need schools. </w:t>
      </w:r>
    </w:p>
    <w:p w14:paraId="7E1BD5FF" w14:textId="0CED9F2F" w:rsidR="00915E6A" w:rsidRDefault="00915E6A" w:rsidP="001B7917">
      <w:pPr>
        <w:autoSpaceDE w:val="0"/>
        <w:autoSpaceDN w:val="0"/>
        <w:adjustRightInd w:val="0"/>
        <w:spacing w:after="0" w:line="240" w:lineRule="auto"/>
        <w:jc w:val="both"/>
        <w:rPr>
          <w:rFonts w:cstheme="minorHAnsi"/>
        </w:rPr>
      </w:pPr>
    </w:p>
    <w:p w14:paraId="1300982E" w14:textId="3B4693E3" w:rsidR="00915E6A" w:rsidRDefault="00915E6A" w:rsidP="001B7917">
      <w:pPr>
        <w:autoSpaceDE w:val="0"/>
        <w:autoSpaceDN w:val="0"/>
        <w:adjustRightInd w:val="0"/>
        <w:spacing w:after="0" w:line="240" w:lineRule="auto"/>
        <w:jc w:val="both"/>
        <w:rPr>
          <w:rFonts w:cstheme="minorHAnsi"/>
        </w:rPr>
      </w:pPr>
      <w:r>
        <w:rPr>
          <w:rFonts w:cstheme="minorHAnsi"/>
        </w:rPr>
        <w:t xml:space="preserve">Whether and how this exposure prepares future teachers to meet student needs and improve performance in schools serving diverse student populations is not yet clear. Findings from an analysis of 2018-19 academic data, the most recently available data, suggest that laboratory schools differed in their impact on student achievement. </w:t>
      </w:r>
      <w:r w:rsidR="00042169">
        <w:rPr>
          <w:rFonts w:cstheme="minorHAnsi"/>
        </w:rPr>
        <w:t xml:space="preserve">Students at the Appalachian Academy at Middle Fork and the ECU Community School moved up in the distribution of standardized test scores and scored as well as or better than a matched comparison sample. </w:t>
      </w:r>
      <w:r w:rsidR="003F2A83">
        <w:rPr>
          <w:rFonts w:cstheme="minorHAnsi"/>
        </w:rPr>
        <w:t xml:space="preserve">However, </w:t>
      </w:r>
      <w:r w:rsidR="00042169">
        <w:rPr>
          <w:rFonts w:cstheme="minorHAnsi"/>
        </w:rPr>
        <w:t>the remaining laboratory schools, particularly the Moss Street Partnership School</w:t>
      </w:r>
      <w:r w:rsidR="001B0576">
        <w:rPr>
          <w:rFonts w:cstheme="minorHAnsi"/>
        </w:rPr>
        <w:t xml:space="preserve"> (UNCG)</w:t>
      </w:r>
      <w:r w:rsidR="00042169">
        <w:rPr>
          <w:rFonts w:cstheme="minorHAnsi"/>
        </w:rPr>
        <w:t xml:space="preserve">, struggled to promote student achievement growth in 2018-19. More </w:t>
      </w:r>
      <w:r w:rsidR="00042169">
        <w:rPr>
          <w:rFonts w:cstheme="minorHAnsi"/>
        </w:rPr>
        <w:lastRenderedPageBreak/>
        <w:t xml:space="preserve">time is needed to meaningfully assess school performance, especially for the laboratory schools in their first year of operation in 2018-19. </w:t>
      </w:r>
    </w:p>
    <w:p w14:paraId="7A9DF7B5" w14:textId="1934CDFF" w:rsidR="00042169" w:rsidRDefault="00042169" w:rsidP="001B7917">
      <w:pPr>
        <w:autoSpaceDE w:val="0"/>
        <w:autoSpaceDN w:val="0"/>
        <w:adjustRightInd w:val="0"/>
        <w:spacing w:after="0" w:line="240" w:lineRule="auto"/>
        <w:jc w:val="both"/>
        <w:rPr>
          <w:rFonts w:cstheme="minorHAnsi"/>
        </w:rPr>
      </w:pPr>
    </w:p>
    <w:p w14:paraId="19CF7F70" w14:textId="11021AEE" w:rsidR="00042169" w:rsidRDefault="00042169" w:rsidP="001B7917">
      <w:pPr>
        <w:autoSpaceDE w:val="0"/>
        <w:autoSpaceDN w:val="0"/>
        <w:adjustRightInd w:val="0"/>
        <w:spacing w:after="0" w:line="240" w:lineRule="auto"/>
        <w:jc w:val="both"/>
        <w:rPr>
          <w:rFonts w:cstheme="minorHAnsi"/>
        </w:rPr>
      </w:pPr>
      <w:r>
        <w:rPr>
          <w:rFonts w:cstheme="minorHAnsi"/>
        </w:rPr>
        <w:t>The UNC System and UNC System institutions operating laboratory schools face challenges in the future that may further extend the time needed to reasonably assess the performance of laboratory schools and their impact on educator preparation programs. The UNC System is charged with opening additional schools in the next two years while also facing a changed economic and budget landscape in North Carolina due to the COVID-19 pandemic. Laboratory schools, like all North Carolina public schools, face challenges associated with the COVID-19 school closures in spring 2020 and implementing variations of remote learning models in fall 2020.</w:t>
      </w:r>
      <w:r w:rsidR="00D55D85">
        <w:rPr>
          <w:rFonts w:cstheme="minorHAnsi"/>
        </w:rPr>
        <w:t xml:space="preserve"> To the extent that the UNC System needs to identify and implement accountability strategies and measures to help laboratory schools sustain and disseminate successes they achieve, it will need to account for uncertainties that will impact laboratory school operation and performance. However, given their operational autonomy and flexibility to harness UNC System institution and other community partnerships, laboratory schools may also be uniquely positioned to respond more nimbly and innovatively to the needs of students they serve.</w:t>
      </w:r>
    </w:p>
    <w:p w14:paraId="18CFD9C1" w14:textId="78E18AEA" w:rsidR="00056A8E" w:rsidRDefault="00056A8E" w:rsidP="001B7917">
      <w:pPr>
        <w:autoSpaceDE w:val="0"/>
        <w:autoSpaceDN w:val="0"/>
        <w:adjustRightInd w:val="0"/>
        <w:spacing w:after="0" w:line="240" w:lineRule="auto"/>
        <w:jc w:val="both"/>
        <w:rPr>
          <w:rFonts w:cstheme="minorHAnsi"/>
        </w:rPr>
      </w:pPr>
    </w:p>
    <w:p w14:paraId="76EFCD32" w14:textId="3D1F9898" w:rsidR="00746315" w:rsidRPr="00746315" w:rsidRDefault="00056A8E" w:rsidP="001B0576">
      <w:pPr>
        <w:spacing w:line="240" w:lineRule="auto"/>
        <w:jc w:val="both"/>
        <w:rPr>
          <w:rPrChange w:id="16" w:author="Laura C Bilbro-Berry" w:date="2020-08-28T12:53:00Z">
            <w:rPr>
              <w:b/>
              <w:bCs/>
              <w:sz w:val="28"/>
              <w:szCs w:val="28"/>
            </w:rPr>
          </w:rPrChange>
        </w:rPr>
        <w:sectPr w:rsidR="00746315" w:rsidRPr="00746315" w:rsidSect="00380E90">
          <w:headerReference w:type="even" r:id="rId17"/>
          <w:headerReference w:type="default" r:id="rId18"/>
          <w:footerReference w:type="default" r:id="rId19"/>
          <w:headerReference w:type="first" r:id="rId20"/>
          <w:pgSz w:w="12240" w:h="15840"/>
          <w:pgMar w:top="1440" w:right="1440" w:bottom="1440" w:left="1440" w:header="720" w:footer="720" w:gutter="0"/>
          <w:cols w:space="720"/>
          <w:docGrid w:linePitch="360"/>
        </w:sectPr>
      </w:pPr>
      <w:r>
        <w:t xml:space="preserve">Accordingly, the Evaluation Team will continue to examine how laboratory school practices and policies evolve to respond to the challenges ahead and contribute to student outcomes and the enhanced preparation of pre-service teachers and school leaders. </w:t>
      </w:r>
    </w:p>
    <w:p w14:paraId="325CF251" w14:textId="0A68A088" w:rsidR="007C3C1F" w:rsidRPr="00E620C4" w:rsidRDefault="007C3C1F" w:rsidP="007C3C1F">
      <w:pPr>
        <w:pStyle w:val="Heading1"/>
        <w:rPr>
          <w:rFonts w:asciiTheme="minorHAnsi" w:hAnsiTheme="minorHAnsi" w:cstheme="minorHAnsi"/>
          <w:color w:val="auto"/>
        </w:rPr>
      </w:pPr>
      <w:r w:rsidRPr="00E620C4">
        <w:rPr>
          <w:rFonts w:asciiTheme="minorHAnsi" w:hAnsiTheme="minorHAnsi" w:cstheme="minorHAnsi"/>
          <w:color w:val="auto"/>
        </w:rPr>
        <w:lastRenderedPageBreak/>
        <w:t>Appendix A</w:t>
      </w:r>
      <w:r w:rsidR="004835E7" w:rsidRPr="00E620C4">
        <w:rPr>
          <w:rFonts w:asciiTheme="minorHAnsi" w:hAnsiTheme="minorHAnsi" w:cstheme="minorHAnsi"/>
          <w:color w:val="auto"/>
        </w:rPr>
        <w:t>1</w:t>
      </w:r>
      <w:r w:rsidRPr="00E620C4">
        <w:rPr>
          <w:rFonts w:asciiTheme="minorHAnsi" w:hAnsiTheme="minorHAnsi" w:cstheme="minorHAnsi"/>
          <w:color w:val="auto"/>
        </w:rPr>
        <w:t xml:space="preserve">: Laboratory Schools’ Response to School Closure Due to Covid-19 </w:t>
      </w:r>
    </w:p>
    <w:p w14:paraId="32C8ECF6" w14:textId="77777777" w:rsidR="007C3C1F" w:rsidRDefault="007C3C1F" w:rsidP="00CC5CFF">
      <w:pPr>
        <w:spacing w:after="0" w:line="240" w:lineRule="auto"/>
        <w:jc w:val="both"/>
      </w:pPr>
      <w:r w:rsidRPr="00F005F5">
        <w:t>On</w:t>
      </w:r>
      <w:r>
        <w:t xml:space="preserve"> March 14, Governor Roy Cooper issued Executive Order No. 117 suspending all school activities and closing all campuses for students across the state. Laboratory schools had a complete break from school for two weeks then transitioned to remote teaching and learning for the remainder of the school year.  </w:t>
      </w:r>
    </w:p>
    <w:p w14:paraId="7DF81C30" w14:textId="77777777" w:rsidR="00CC5CFF" w:rsidRDefault="00CC5CFF" w:rsidP="00CC5CFF">
      <w:pPr>
        <w:spacing w:after="0" w:line="240" w:lineRule="auto"/>
        <w:jc w:val="both"/>
      </w:pPr>
    </w:p>
    <w:p w14:paraId="79F0CB59" w14:textId="0F384250" w:rsidR="00DF15E0" w:rsidRDefault="007C3C1F" w:rsidP="00CC5CFF">
      <w:pPr>
        <w:spacing w:after="0" w:line="240" w:lineRule="auto"/>
        <w:jc w:val="both"/>
      </w:pPr>
      <w:r>
        <w:t>This appendix details the laboratory schools’ response to school closure</w:t>
      </w:r>
      <w:r w:rsidR="00DF15E0">
        <w:t>,</w:t>
      </w:r>
      <w:r>
        <w:t xml:space="preserve"> focusing on three critical</w:t>
      </w:r>
      <w:r w:rsidR="00CC5CFF">
        <w:t xml:space="preserve"> </w:t>
      </w:r>
      <w:r>
        <w:t>aspects: implementing remote instruction</w:t>
      </w:r>
      <w:r w:rsidR="00DF15E0">
        <w:t>, addressing students’ academic needs, and addressing students’ non-academic needs. This appendix also discusses the implications of school closures for laboratory schools and their students.</w:t>
      </w:r>
      <w:r w:rsidR="00772F64">
        <w:t xml:space="preserve"> The Evaluation Team collected data on laboratory schools’ response to COVID-19 through virtual interviews with laboratory school leadership teams in May/June 2020.</w:t>
      </w:r>
    </w:p>
    <w:p w14:paraId="05BC44DD" w14:textId="77777777" w:rsidR="00CC5CFF" w:rsidRDefault="00CC5CFF" w:rsidP="00CC5CFF">
      <w:pPr>
        <w:spacing w:after="0" w:line="240" w:lineRule="auto"/>
        <w:jc w:val="both"/>
        <w:rPr>
          <w:b/>
          <w:bCs/>
        </w:rPr>
      </w:pPr>
    </w:p>
    <w:p w14:paraId="24F2C4F5" w14:textId="093307BB" w:rsidR="007C3C1F" w:rsidRDefault="007C3C1F" w:rsidP="00CC5CFF">
      <w:pPr>
        <w:spacing w:after="0" w:line="240" w:lineRule="auto"/>
        <w:jc w:val="both"/>
        <w:rPr>
          <w:b/>
          <w:bCs/>
        </w:rPr>
      </w:pPr>
      <w:r>
        <w:rPr>
          <w:b/>
          <w:bCs/>
        </w:rPr>
        <w:t>Implementing remote instruction</w:t>
      </w:r>
    </w:p>
    <w:p w14:paraId="022543AA" w14:textId="77777777" w:rsidR="00CC5CFF" w:rsidRDefault="00CC5CFF" w:rsidP="00CC5CFF">
      <w:pPr>
        <w:spacing w:after="0" w:line="240" w:lineRule="auto"/>
        <w:jc w:val="both"/>
        <w:rPr>
          <w:i/>
          <w:iCs/>
        </w:rPr>
      </w:pPr>
    </w:p>
    <w:p w14:paraId="107AAF57" w14:textId="3D1E1D02" w:rsidR="007C3C1F" w:rsidRDefault="007C3C1F" w:rsidP="00CC5CFF">
      <w:pPr>
        <w:spacing w:after="0" w:line="240" w:lineRule="auto"/>
        <w:jc w:val="both"/>
      </w:pPr>
      <w:r w:rsidRPr="00531C9D">
        <w:rPr>
          <w:i/>
          <w:iCs/>
        </w:rPr>
        <w:t>Establishing connections</w:t>
      </w:r>
      <w:r>
        <w:rPr>
          <w:i/>
          <w:iCs/>
        </w:rPr>
        <w:t xml:space="preserve"> with students and families</w:t>
      </w:r>
      <w:r w:rsidRPr="00531C9D">
        <w:rPr>
          <w:i/>
          <w:iCs/>
        </w:rPr>
        <w:t>.</w:t>
      </w:r>
      <w:r>
        <w:t xml:space="preserve"> </w:t>
      </w:r>
      <w:r w:rsidR="00151726">
        <w:t xml:space="preserve">Laboratory school staff began to plan for remote instruction immediately after schools closed. </w:t>
      </w:r>
      <w:r>
        <w:t>Through the remainder of the semester, staff at all schools met regularly using videoconferencing platforms, either through weekly whole-staff or professional learning community (PLC)</w:t>
      </w:r>
      <w:r w:rsidRPr="00960463">
        <w:t xml:space="preserve"> </w:t>
      </w:r>
      <w:r>
        <w:t>meetings</w:t>
      </w:r>
      <w:r w:rsidR="00151726">
        <w:t>,</w:t>
      </w:r>
      <w:r>
        <w:t xml:space="preserve"> in order to plan and share curricular resources, discuss operations, communicate with community and family members, and coordinate other critical responses to closure. </w:t>
      </w:r>
    </w:p>
    <w:p w14:paraId="4FF373A3" w14:textId="77777777" w:rsidR="00CC5CFF" w:rsidRDefault="00CC5CFF" w:rsidP="00CC5CFF">
      <w:pPr>
        <w:pStyle w:val="CommentText"/>
        <w:spacing w:after="0"/>
        <w:jc w:val="both"/>
        <w:rPr>
          <w:sz w:val="22"/>
          <w:szCs w:val="22"/>
        </w:rPr>
      </w:pPr>
    </w:p>
    <w:p w14:paraId="4DA56942" w14:textId="6AA17ADE" w:rsidR="007C3C1F" w:rsidRDefault="007C3C1F" w:rsidP="00CC5CFF">
      <w:pPr>
        <w:pStyle w:val="CommentText"/>
        <w:spacing w:after="0"/>
        <w:jc w:val="both"/>
      </w:pPr>
      <w:r w:rsidRPr="005D3208">
        <w:rPr>
          <w:sz w:val="22"/>
          <w:szCs w:val="22"/>
        </w:rPr>
        <w:t xml:space="preserve">Laboratory schools developed strategies to maintain regular communication with students and their families. Methods varied across campuses and included a combination of weekly synchronous meeting times for students, automated or individual phone calls to parents, regularly scheduled office hours via Zoom, and e-newsletters. Laboratory </w:t>
      </w:r>
      <w:proofErr w:type="gramStart"/>
      <w:r w:rsidRPr="005D3208">
        <w:rPr>
          <w:sz w:val="22"/>
          <w:szCs w:val="22"/>
        </w:rPr>
        <w:t>school teachers</w:t>
      </w:r>
      <w:proofErr w:type="gramEnd"/>
      <w:r w:rsidRPr="005D3208">
        <w:rPr>
          <w:sz w:val="22"/>
          <w:szCs w:val="22"/>
        </w:rPr>
        <w:t xml:space="preserve"> also continued to use communication applications that they had already been using for parent outreach (e.g., ClassDojo or Remind). </w:t>
      </w:r>
    </w:p>
    <w:p w14:paraId="4F46FFB9" w14:textId="77777777" w:rsidR="00CC5CFF" w:rsidRDefault="00CC5CFF" w:rsidP="00CC5CFF">
      <w:pPr>
        <w:spacing w:after="0" w:line="240" w:lineRule="auto"/>
        <w:jc w:val="both"/>
        <w:rPr>
          <w:i/>
          <w:iCs/>
        </w:rPr>
      </w:pPr>
    </w:p>
    <w:p w14:paraId="5DC3DBD9" w14:textId="6C802500" w:rsidR="007C3C1F" w:rsidRDefault="007C3C1F" w:rsidP="00CC5CFF">
      <w:pPr>
        <w:spacing w:after="0" w:line="240" w:lineRule="auto"/>
        <w:jc w:val="both"/>
      </w:pPr>
      <w:r w:rsidRPr="007C60AB">
        <w:rPr>
          <w:i/>
          <w:iCs/>
        </w:rPr>
        <w:t xml:space="preserve">Remote </w:t>
      </w:r>
      <w:r>
        <w:rPr>
          <w:i/>
          <w:iCs/>
        </w:rPr>
        <w:t xml:space="preserve">learning devices and internet access. </w:t>
      </w:r>
      <w:r>
        <w:t xml:space="preserve">All laboratory schools faced a common initial barrier in the transition to remote instruction: student access to devices and internet connectivity. Some laboratory school students had previously received devices for use at home. The Catamount School’s </w:t>
      </w:r>
      <w:r w:rsidR="005612FA">
        <w:t xml:space="preserve">(WCU) </w:t>
      </w:r>
      <w:r>
        <w:t>host district, J</w:t>
      </w:r>
      <w:r w:rsidR="005612FA">
        <w:t>ackson County Public Schools</w:t>
      </w:r>
      <w:r>
        <w:t>, had already ensured 1:1 device access for all district students. Similarly, D</w:t>
      </w:r>
      <w:r w:rsidR="00151726">
        <w:t>.</w:t>
      </w:r>
      <w:r>
        <w:t>C</w:t>
      </w:r>
      <w:r w:rsidR="00151726">
        <w:t>.</w:t>
      </w:r>
      <w:r>
        <w:t xml:space="preserve"> Virgo</w:t>
      </w:r>
      <w:r w:rsidR="00151726">
        <w:t xml:space="preserve"> Preparatory Academy</w:t>
      </w:r>
      <w:r w:rsidR="005612FA">
        <w:t xml:space="preserve"> (UNCW)</w:t>
      </w:r>
      <w:r w:rsidR="00151726">
        <w:t xml:space="preserve"> had</w:t>
      </w:r>
      <w:r>
        <w:t xml:space="preserve"> partnered with the </w:t>
      </w:r>
      <w:proofErr w:type="spellStart"/>
      <w:r>
        <w:t>Kramden</w:t>
      </w:r>
      <w:proofErr w:type="spellEnd"/>
      <w:r>
        <w:t xml:space="preserve"> Institute and Live Oak Bank to distribute devices to every student in the fall. At these campuses, staff made efforts to ensure student devices were functional and up to date, distributing new devices where necessary. </w:t>
      </w:r>
    </w:p>
    <w:p w14:paraId="695CF37E" w14:textId="77777777" w:rsidR="00CC5CFF" w:rsidRDefault="00CC5CFF" w:rsidP="00CC5CFF">
      <w:pPr>
        <w:spacing w:after="0" w:line="240" w:lineRule="auto"/>
        <w:jc w:val="both"/>
      </w:pPr>
    </w:p>
    <w:p w14:paraId="3DD5E9A0" w14:textId="71CD3AFD" w:rsidR="007C3C1F" w:rsidRDefault="007C3C1F" w:rsidP="00CC5CFF">
      <w:pPr>
        <w:spacing w:after="0" w:line="240" w:lineRule="auto"/>
        <w:jc w:val="both"/>
      </w:pPr>
      <w:r>
        <w:t xml:space="preserve">At the other laboratory schools, staff reached out to families within the first two weeks to assess and document each student’s home access to a device and internet. Some families already had access to devices at home, but for those without, laboratory schools partnered with either the university or host district to distribute devices (typically Chromebooks and iPads). </w:t>
      </w:r>
    </w:p>
    <w:p w14:paraId="56F95737" w14:textId="77777777" w:rsidR="00CC5CFF" w:rsidRDefault="00CC5CFF" w:rsidP="00CC5CFF">
      <w:pPr>
        <w:spacing w:after="0" w:line="240" w:lineRule="auto"/>
        <w:jc w:val="both"/>
      </w:pPr>
    </w:p>
    <w:p w14:paraId="52707824" w14:textId="2DF62515" w:rsidR="007C3C1F" w:rsidRDefault="007C3C1F" w:rsidP="00CC5CFF">
      <w:pPr>
        <w:spacing w:after="0" w:line="240" w:lineRule="auto"/>
        <w:jc w:val="both"/>
      </w:pPr>
      <w:r>
        <w:t xml:space="preserve">Because many families reported limited or no access to internet connectivity in the home, laboratory school leaders partnered with either their host district or university institution to refer families to free Spectrum services or Wi-Fi access set up in school parking lots, public libraries, or through school bus Wi-Fi hotspots. In some cases, laboratory schools distributed hotspots for use in the home. </w:t>
      </w:r>
    </w:p>
    <w:p w14:paraId="5E8D0DF0" w14:textId="77777777" w:rsidR="00CC5CFF" w:rsidRDefault="00CC5CFF" w:rsidP="00CC5CFF">
      <w:pPr>
        <w:spacing w:after="0" w:line="240" w:lineRule="auto"/>
        <w:jc w:val="both"/>
        <w:rPr>
          <w:i/>
          <w:iCs/>
        </w:rPr>
      </w:pPr>
    </w:p>
    <w:p w14:paraId="3FBDCED3" w14:textId="49665230" w:rsidR="007C3C1F" w:rsidRDefault="007C3C1F" w:rsidP="00CC5CFF">
      <w:pPr>
        <w:spacing w:after="0" w:line="240" w:lineRule="auto"/>
        <w:jc w:val="both"/>
      </w:pPr>
      <w:r w:rsidRPr="008B4D80">
        <w:rPr>
          <w:i/>
          <w:iCs/>
        </w:rPr>
        <w:t>Remote learning platforms.</w:t>
      </w:r>
      <w:r>
        <w:t xml:space="preserve"> </w:t>
      </w:r>
      <w:r w:rsidR="00673504">
        <w:t>L</w:t>
      </w:r>
      <w:r w:rsidRPr="008B4D80">
        <w:t>aboratory school leadership team</w:t>
      </w:r>
      <w:r w:rsidR="00673504">
        <w:t>s</w:t>
      </w:r>
      <w:r w:rsidRPr="008B4D80">
        <w:t xml:space="preserve"> implemented a range of supports for teachers during the transition to distance learning. Many laboratory schools worked with COE or university </w:t>
      </w:r>
      <w:r w:rsidR="00673504">
        <w:t>IT</w:t>
      </w:r>
      <w:r w:rsidRPr="008B4D80">
        <w:t xml:space="preserve"> staff to provide laboratory school staff professional development on remote learning tools, </w:t>
      </w:r>
      <w:r w:rsidRPr="008B4D80">
        <w:lastRenderedPageBreak/>
        <w:t>platforms</w:t>
      </w:r>
      <w:r w:rsidR="00BF6396">
        <w:t>,</w:t>
      </w:r>
      <w:r w:rsidRPr="008B4D80">
        <w:t xml:space="preserve"> and strategies.</w:t>
      </w:r>
      <w:r>
        <w:t xml:space="preserve"> Laboratory </w:t>
      </w:r>
      <w:proofErr w:type="gramStart"/>
      <w:r>
        <w:t>school teachers</w:t>
      </w:r>
      <w:proofErr w:type="gramEnd"/>
      <w:r>
        <w:t xml:space="preserve"> used a range of platforms and formats to engage students in instruction</w:t>
      </w:r>
      <w:r w:rsidR="00673504">
        <w:t xml:space="preserve">, including </w:t>
      </w:r>
      <w:r>
        <w:t xml:space="preserve">Google Classroom, Canvas, Schoology, Seesaw, and Zoom (for live videoconference instruction). Though most assignments were completed online, all campuses also provided a paper version of instruction available to students upon request. While a few teachers of specific courses or student groups (typically older grades) engaged in regular, synchronous, face-to-face learning via Zoom, most instruction across all laboratory schools occurred asynchronously to accommodate varying family schedules.  </w:t>
      </w:r>
    </w:p>
    <w:p w14:paraId="4F7DE550" w14:textId="77777777" w:rsidR="00CC5CFF" w:rsidRDefault="00CC5CFF" w:rsidP="00CC5CFF">
      <w:pPr>
        <w:spacing w:after="0" w:line="240" w:lineRule="auto"/>
        <w:jc w:val="both"/>
        <w:rPr>
          <w:b/>
          <w:bCs/>
        </w:rPr>
      </w:pPr>
    </w:p>
    <w:p w14:paraId="6FB45502" w14:textId="645C999C" w:rsidR="007C3C1F" w:rsidRPr="00531C9D" w:rsidRDefault="007C3C1F" w:rsidP="00CC5CFF">
      <w:pPr>
        <w:spacing w:after="0" w:line="240" w:lineRule="auto"/>
        <w:jc w:val="both"/>
        <w:rPr>
          <w:b/>
          <w:bCs/>
        </w:rPr>
      </w:pPr>
      <w:r w:rsidRPr="00531C9D">
        <w:rPr>
          <w:b/>
          <w:bCs/>
        </w:rPr>
        <w:t>Addressing students’ academic needs</w:t>
      </w:r>
    </w:p>
    <w:p w14:paraId="5D978FE9" w14:textId="77777777" w:rsidR="00CC5CFF" w:rsidRDefault="00CC5CFF" w:rsidP="00CC5CFF">
      <w:pPr>
        <w:spacing w:after="0" w:line="240" w:lineRule="auto"/>
        <w:jc w:val="both"/>
        <w:rPr>
          <w:i/>
          <w:iCs/>
        </w:rPr>
      </w:pPr>
    </w:p>
    <w:p w14:paraId="742E1E31" w14:textId="3634E96C" w:rsidR="007C3C1F" w:rsidRPr="00B306BC" w:rsidRDefault="007C3C1F" w:rsidP="00CC5CFF">
      <w:pPr>
        <w:spacing w:after="0" w:line="240" w:lineRule="auto"/>
        <w:jc w:val="both"/>
      </w:pPr>
      <w:r>
        <w:rPr>
          <w:i/>
          <w:iCs/>
        </w:rPr>
        <w:t>Student a</w:t>
      </w:r>
      <w:r w:rsidRPr="008B4D80">
        <w:rPr>
          <w:i/>
          <w:iCs/>
        </w:rPr>
        <w:t>ttendance</w:t>
      </w:r>
      <w:r>
        <w:rPr>
          <w:i/>
          <w:iCs/>
        </w:rPr>
        <w:t xml:space="preserve"> and engagement</w:t>
      </w:r>
      <w:r w:rsidRPr="008B4D80">
        <w:rPr>
          <w:i/>
          <w:iCs/>
        </w:rPr>
        <w:t>.</w:t>
      </w:r>
      <w:r>
        <w:t xml:space="preserve"> Student engagement with remote instruction varied by age and point of time in the semester. On average, lab</w:t>
      </w:r>
      <w:r w:rsidR="00BF6396">
        <w:t>oratory</w:t>
      </w:r>
      <w:r>
        <w:t xml:space="preserve"> school leaders reported that between one-third and one-half of students engaged daily with instruction. A larger proportion of students turned in assignments when they were due</w:t>
      </w:r>
      <w:r w:rsidR="00116C18">
        <w:t xml:space="preserve">. </w:t>
      </w:r>
      <w:r>
        <w:t xml:space="preserve"> Generally, students in lower grades were more likely to</w:t>
      </w:r>
      <w:r w:rsidR="00FE403F">
        <w:t xml:space="preserve"> regularly engage, as were older students in courses with implications for future course placement. </w:t>
      </w:r>
      <w:r>
        <w:t xml:space="preserve">Across all grades, laboratory school leaders reported that student engagement often began relatively high and then waned over the course of the semester. </w:t>
      </w:r>
    </w:p>
    <w:p w14:paraId="273D3E07" w14:textId="77777777" w:rsidR="00CC5CFF" w:rsidRDefault="00CC5CFF" w:rsidP="00CC5CFF">
      <w:pPr>
        <w:pStyle w:val="CommentText"/>
        <w:spacing w:after="0"/>
        <w:jc w:val="both"/>
        <w:rPr>
          <w:i/>
        </w:rPr>
      </w:pPr>
    </w:p>
    <w:p w14:paraId="2849305E" w14:textId="74A7E14B" w:rsidR="007C3C1F" w:rsidRDefault="007C3C1F" w:rsidP="00CC5CFF">
      <w:pPr>
        <w:pStyle w:val="CommentText"/>
        <w:spacing w:after="0"/>
        <w:jc w:val="both"/>
        <w:rPr>
          <w:sz w:val="22"/>
          <w:szCs w:val="22"/>
        </w:rPr>
      </w:pPr>
      <w:r w:rsidRPr="00CC5CFF">
        <w:rPr>
          <w:i/>
          <w:sz w:val="22"/>
          <w:szCs w:val="22"/>
        </w:rPr>
        <w:t>Curricular instruction.</w:t>
      </w:r>
      <w:r w:rsidRPr="00CC5CFF">
        <w:rPr>
          <w:sz w:val="22"/>
          <w:szCs w:val="22"/>
        </w:rPr>
        <w:t xml:space="preserve"> Laboratory school leaders reported that, especially in the immediate weeks that followed school closures, most teachers reviewed previously covered standards rather than attempting to introduce new content. Some teachers addressed new content as the year progressed, especially in subjects where student performance had implications for placement in advanced coursework the following year (e.g. Math I).</w:t>
      </w:r>
    </w:p>
    <w:p w14:paraId="0C4DFF70" w14:textId="77777777" w:rsidR="00CC5CFF" w:rsidRPr="00CC5CFF" w:rsidRDefault="00CC5CFF" w:rsidP="00CC5CFF">
      <w:pPr>
        <w:pStyle w:val="CommentText"/>
        <w:spacing w:after="0"/>
        <w:jc w:val="both"/>
        <w:rPr>
          <w:sz w:val="22"/>
          <w:szCs w:val="22"/>
        </w:rPr>
      </w:pPr>
    </w:p>
    <w:p w14:paraId="1AD155A6" w14:textId="12B589B1" w:rsidR="007C3C1F" w:rsidRPr="00CC5CFF" w:rsidRDefault="007C3C1F" w:rsidP="00CC5CFF">
      <w:pPr>
        <w:spacing w:after="0" w:line="240" w:lineRule="auto"/>
        <w:jc w:val="both"/>
      </w:pPr>
      <w:r w:rsidRPr="00CC5CFF">
        <w:t>The shift to remote teaching and learning limited</w:t>
      </w:r>
      <w:r w:rsidR="00727995">
        <w:t xml:space="preserve"> the</w:t>
      </w:r>
      <w:r w:rsidRPr="00CC5CFF">
        <w:t xml:space="preserve"> involvement of both COE faculty and </w:t>
      </w:r>
      <w:r w:rsidR="003D2FB7">
        <w:t>pre-service</w:t>
      </w:r>
      <w:r w:rsidRPr="00CC5CFF">
        <w:t xml:space="preserve"> candidates. Some faculty-in-residence continued to support </w:t>
      </w:r>
      <w:r w:rsidR="00727995">
        <w:t xml:space="preserve">laboratory school staff and students through remote teaching strategies. </w:t>
      </w:r>
      <w:r w:rsidR="00F74ECC">
        <w:t xml:space="preserve">However, </w:t>
      </w:r>
      <w:r w:rsidR="00727995">
        <w:t xml:space="preserve">COEs generally released </w:t>
      </w:r>
      <w:r w:rsidR="003D2FB7">
        <w:t>pre-service</w:t>
      </w:r>
      <w:r w:rsidR="00727995">
        <w:t xml:space="preserve"> candidate supervisors and instructors and </w:t>
      </w:r>
      <w:r w:rsidR="003D2FB7">
        <w:t>pre-service</w:t>
      </w:r>
      <w:r w:rsidR="00727995">
        <w:t xml:space="preserve"> candidates due to the laboratory school closures and university policies. </w:t>
      </w:r>
      <w:r w:rsidRPr="00CC5CFF">
        <w:t xml:space="preserve">Some COEs continued to engage student teacher interns in the new remote operations of the laboratory school. In these cases, </w:t>
      </w:r>
      <w:r w:rsidR="00727995">
        <w:t>student teachers</w:t>
      </w:r>
      <w:r w:rsidRPr="00CC5CFF">
        <w:t xml:space="preserve"> often supported </w:t>
      </w:r>
      <w:r w:rsidR="00727995">
        <w:t xml:space="preserve">laboratory </w:t>
      </w:r>
      <w:proofErr w:type="gramStart"/>
      <w:r w:rsidR="00727995">
        <w:t xml:space="preserve">school </w:t>
      </w:r>
      <w:r w:rsidRPr="00CC5CFF">
        <w:t>teachers</w:t>
      </w:r>
      <w:proofErr w:type="gramEnd"/>
      <w:r w:rsidRPr="00CC5CFF">
        <w:t xml:space="preserve"> with the planning and execution of synchronous and asynchronous remote learning activities, tutored students</w:t>
      </w:r>
      <w:r w:rsidR="00727995">
        <w:t>,</w:t>
      </w:r>
      <w:r w:rsidRPr="00CC5CFF">
        <w:t xml:space="preserve"> supported teacher-led office hours</w:t>
      </w:r>
      <w:r w:rsidR="00727995">
        <w:t>,</w:t>
      </w:r>
      <w:r w:rsidRPr="00CC5CFF">
        <w:t xml:space="preserve"> and joined virtual homeroom and staff meetings. Some laboratory schools allowed </w:t>
      </w:r>
      <w:r w:rsidR="003D2FB7">
        <w:t>pre-service</w:t>
      </w:r>
      <w:r w:rsidRPr="00CC5CFF">
        <w:t xml:space="preserve"> candidates to volunteer informally with their placement laboratory school as desired, but in these instances, most </w:t>
      </w:r>
      <w:r w:rsidR="003D2FB7">
        <w:t>pre-service</w:t>
      </w:r>
      <w:r w:rsidRPr="00CC5CFF">
        <w:t xml:space="preserve"> candidate engagement concluded within a few weeks of closure. </w:t>
      </w:r>
    </w:p>
    <w:p w14:paraId="435C28FC" w14:textId="77777777" w:rsidR="00CC5CFF" w:rsidRDefault="00CC5CFF" w:rsidP="00CC5CFF">
      <w:pPr>
        <w:spacing w:after="0" w:line="240" w:lineRule="auto"/>
        <w:jc w:val="both"/>
        <w:rPr>
          <w:b/>
          <w:bCs/>
        </w:rPr>
      </w:pPr>
    </w:p>
    <w:p w14:paraId="6BCF906D" w14:textId="7381530E" w:rsidR="007C3C1F" w:rsidRPr="008B4D80" w:rsidRDefault="007C3C1F" w:rsidP="00CC5CFF">
      <w:pPr>
        <w:spacing w:after="0" w:line="240" w:lineRule="auto"/>
        <w:jc w:val="both"/>
        <w:rPr>
          <w:b/>
          <w:bCs/>
        </w:rPr>
      </w:pPr>
      <w:r w:rsidRPr="008B4D80">
        <w:rPr>
          <w:b/>
          <w:bCs/>
        </w:rPr>
        <w:t xml:space="preserve">Addressing students’ </w:t>
      </w:r>
      <w:r>
        <w:rPr>
          <w:b/>
          <w:bCs/>
        </w:rPr>
        <w:t>non-academic</w:t>
      </w:r>
      <w:r w:rsidRPr="008B4D80">
        <w:rPr>
          <w:b/>
          <w:bCs/>
        </w:rPr>
        <w:t xml:space="preserve"> needs</w:t>
      </w:r>
    </w:p>
    <w:p w14:paraId="582C8357" w14:textId="77777777" w:rsidR="00CC5CFF" w:rsidRDefault="00CC5CFF" w:rsidP="00CC5CFF">
      <w:pPr>
        <w:spacing w:after="0" w:line="240" w:lineRule="auto"/>
        <w:jc w:val="both"/>
      </w:pPr>
    </w:p>
    <w:p w14:paraId="14E49E9C" w14:textId="4DA8894D" w:rsidR="007C3C1F" w:rsidRDefault="007C3C1F" w:rsidP="00CC5CFF">
      <w:pPr>
        <w:spacing w:after="0" w:line="240" w:lineRule="auto"/>
        <w:jc w:val="both"/>
      </w:pPr>
      <w:r>
        <w:t>While school closure has fundamentally shifted all in person learning models, it has</w:t>
      </w:r>
      <w:r w:rsidR="00124D92">
        <w:t xml:space="preserve"> also significantly diminished certain critical aspects of laboratory school models intended to address the needs of the whole child. </w:t>
      </w:r>
      <w:r>
        <w:t>Laboratory school leaders readily acknowledge that model elements premised on relationship building to support social and emotional well-being (e.g., D.C. Virgo Preparatory Academy</w:t>
      </w:r>
      <w:r w:rsidR="00124D92">
        <w:t>’s</w:t>
      </w:r>
      <w:r>
        <w:t xml:space="preserve"> kinship model) or promoting a positive school culture (e.g., restorative practices) or creating experiential learning opportunities that occurred through physical spaces at laboratory schools</w:t>
      </w:r>
      <w:r w:rsidR="00124D92">
        <w:t>/</w:t>
      </w:r>
      <w:r>
        <w:t xml:space="preserve">university institutions (e.g., maker spaces) were disrupted when schools closed. A period of time to re-set and norm on these elements of laboratory school models may be needed when </w:t>
      </w:r>
      <w:r w:rsidR="00124D92">
        <w:t>laboratory schools return to in-person instruction.</w:t>
      </w:r>
    </w:p>
    <w:p w14:paraId="77DBA4AD" w14:textId="77777777" w:rsidR="00124D92" w:rsidRPr="00F918A5" w:rsidRDefault="00124D92" w:rsidP="00CC5CFF">
      <w:pPr>
        <w:spacing w:after="0" w:line="240" w:lineRule="auto"/>
        <w:jc w:val="both"/>
      </w:pPr>
    </w:p>
    <w:p w14:paraId="21A587A3" w14:textId="3EB77D1B" w:rsidR="007C3C1F" w:rsidRDefault="007C3C1F" w:rsidP="00CC5CFF">
      <w:pPr>
        <w:spacing w:after="0" w:line="240" w:lineRule="auto"/>
        <w:jc w:val="both"/>
      </w:pPr>
      <w:r>
        <w:t xml:space="preserve">The COVID-19 pandemic challenged laboratory schools to meet the non-academic needs of students while practicing social distancing. Each laboratory </w:t>
      </w:r>
      <w:proofErr w:type="gramStart"/>
      <w:r>
        <w:t>school worked</w:t>
      </w:r>
      <w:proofErr w:type="gramEnd"/>
      <w:r>
        <w:t xml:space="preserve"> with their host district to ensure continuity of </w:t>
      </w:r>
      <w:r>
        <w:lastRenderedPageBreak/>
        <w:t>meal service for all students. Several laboratory schools became meal distribution sites for their student populations. Some laboratory schools formed new, or strengthened existing, partnerships with local community-based organizations to offer students and their families supports ranging from housing assistance and mental and physical health services to school supplies for use at home.</w:t>
      </w:r>
    </w:p>
    <w:p w14:paraId="20474489" w14:textId="77777777" w:rsidR="00CC5CFF" w:rsidRDefault="00CC5CFF" w:rsidP="00CC5CFF">
      <w:pPr>
        <w:spacing w:after="0" w:line="240" w:lineRule="auto"/>
        <w:jc w:val="both"/>
      </w:pPr>
    </w:p>
    <w:p w14:paraId="66513E32" w14:textId="7C863BB8" w:rsidR="007C3C1F" w:rsidRPr="00B306BC" w:rsidRDefault="007C3C1F" w:rsidP="00CC5CFF">
      <w:pPr>
        <w:spacing w:after="0" w:line="240" w:lineRule="auto"/>
        <w:jc w:val="both"/>
      </w:pPr>
      <w:r>
        <w:t xml:space="preserve">Schools attempted to sustain regular, though less frequent, check-ins with students and/or families via phone calls or synchronous online meetings. For example, at The Catamount School (WCU), teachers held weekly “Village Meetings” with their homerooms while staff at the Moss Street Partnership School </w:t>
      </w:r>
      <w:r w:rsidR="00CE5854">
        <w:t xml:space="preserve">(UNCG) </w:t>
      </w:r>
      <w:r>
        <w:t>conducted</w:t>
      </w:r>
      <w:r w:rsidDel="00A0143D">
        <w:t xml:space="preserve"> social and emotional </w:t>
      </w:r>
      <w:r>
        <w:t xml:space="preserve">learning </w:t>
      </w:r>
      <w:r w:rsidRPr="003F246F">
        <w:t xml:space="preserve">sessions with families </w:t>
      </w:r>
      <w:r>
        <w:t xml:space="preserve">over Zoom. </w:t>
      </w:r>
      <w:r w:rsidRPr="00484BF5">
        <w:t xml:space="preserve">School leaders gave teachers the autonomy to follow up and track engagement when laboratory </w:t>
      </w:r>
      <w:proofErr w:type="gramStart"/>
      <w:r w:rsidRPr="00484BF5">
        <w:t>school teachers</w:t>
      </w:r>
      <w:proofErr w:type="gramEnd"/>
      <w:r w:rsidRPr="00484BF5">
        <w:t xml:space="preserve"> were unable to make contact with families or noticed certain students </w:t>
      </w:r>
      <w:r>
        <w:t xml:space="preserve">missing check-ins or </w:t>
      </w:r>
      <w:r w:rsidRPr="00484BF5">
        <w:t>beginning to</w:t>
      </w:r>
      <w:r>
        <w:t xml:space="preserve"> </w:t>
      </w:r>
      <w:r w:rsidRPr="00484BF5">
        <w:t>disengage with instruction</w:t>
      </w:r>
      <w:r>
        <w:t>.</w:t>
      </w:r>
      <w:r w:rsidRPr="00484BF5">
        <w:t xml:space="preserve"> </w:t>
      </w:r>
      <w:r>
        <w:t xml:space="preserve">Through these check-ins and follow-ups laboratory </w:t>
      </w:r>
      <w:proofErr w:type="gramStart"/>
      <w:r>
        <w:t>school teachers</w:t>
      </w:r>
      <w:proofErr w:type="gramEnd"/>
      <w:r>
        <w:t xml:space="preserve"> were often able to identify student and family needs. Non-academic support teams based at several schools, including the “CARES team” at the A</w:t>
      </w:r>
      <w:r w:rsidR="001F3642">
        <w:t>cademy at Middle Fork (Appalachian State)</w:t>
      </w:r>
      <w:r>
        <w:t>, the student support team at D</w:t>
      </w:r>
      <w:r w:rsidR="00FB3DD2">
        <w:t>.</w:t>
      </w:r>
      <w:r>
        <w:t>C</w:t>
      </w:r>
      <w:r w:rsidR="00FB3DD2">
        <w:t>.</w:t>
      </w:r>
      <w:r>
        <w:t xml:space="preserve"> Virgo Prep</w:t>
      </w:r>
      <w:r w:rsidR="00FB3DD2">
        <w:t>aratory</w:t>
      </w:r>
      <w:r>
        <w:t xml:space="preserve"> Academy</w:t>
      </w:r>
      <w:r w:rsidR="00BF6396">
        <w:t xml:space="preserve"> (UNCW)</w:t>
      </w:r>
      <w:r>
        <w:t xml:space="preserve">, and the integrated health collaborative team at the ECU </w:t>
      </w:r>
      <w:r w:rsidR="00FB3DD2">
        <w:t>C</w:t>
      </w:r>
      <w:r>
        <w:t xml:space="preserve">ommunity School continued to meet regularly to discuss students in need of additional support, field student and family referrals from teachers, and provide direct services or referrals to community based organizations. Some university partners also continued to deliver student </w:t>
      </w:r>
      <w:r w:rsidRPr="003F246F">
        <w:t>supports</w:t>
      </w:r>
      <w:r>
        <w:t xml:space="preserve"> remotely</w:t>
      </w:r>
      <w:r w:rsidR="00FB3DD2">
        <w:t xml:space="preserve"> (e.g., </w:t>
      </w:r>
      <w:r>
        <w:t xml:space="preserve">virtual physical and </w:t>
      </w:r>
      <w:r w:rsidRPr="003F246F">
        <w:t>speech therapy sessions</w:t>
      </w:r>
      <w:r w:rsidR="00FB3DD2">
        <w:t>).</w:t>
      </w:r>
    </w:p>
    <w:p w14:paraId="55CBF707" w14:textId="77777777" w:rsidR="007C3C1F" w:rsidRDefault="007C3C1F" w:rsidP="00CC5CFF">
      <w:pPr>
        <w:spacing w:after="0" w:line="240" w:lineRule="auto"/>
        <w:jc w:val="both"/>
      </w:pPr>
    </w:p>
    <w:p w14:paraId="0CD0B2D8" w14:textId="691CF96F" w:rsidR="007C3C1F" w:rsidRDefault="007C3C1F" w:rsidP="00CC5CFF">
      <w:pPr>
        <w:spacing w:after="0" w:line="240" w:lineRule="auto"/>
        <w:jc w:val="both"/>
        <w:rPr>
          <w:b/>
          <w:bCs/>
        </w:rPr>
      </w:pPr>
      <w:r>
        <w:rPr>
          <w:b/>
          <w:bCs/>
        </w:rPr>
        <w:t>I</w:t>
      </w:r>
      <w:r w:rsidRPr="008F3AF8">
        <w:rPr>
          <w:b/>
          <w:bCs/>
        </w:rPr>
        <w:t xml:space="preserve">mplications of school closures </w:t>
      </w:r>
    </w:p>
    <w:p w14:paraId="179A03F9" w14:textId="77777777" w:rsidR="00CC5CFF" w:rsidRPr="008F3AF8" w:rsidRDefault="00CC5CFF" w:rsidP="00CC5CFF">
      <w:pPr>
        <w:spacing w:after="0" w:line="240" w:lineRule="auto"/>
        <w:jc w:val="both"/>
        <w:rPr>
          <w:b/>
          <w:bCs/>
        </w:rPr>
      </w:pPr>
    </w:p>
    <w:p w14:paraId="3D69C024" w14:textId="6C3829E3" w:rsidR="007C3C1F" w:rsidRDefault="009266E7" w:rsidP="00CC5CFF">
      <w:pPr>
        <w:spacing w:after="0" w:line="240" w:lineRule="auto"/>
        <w:jc w:val="both"/>
      </w:pPr>
      <w:r>
        <w:t>While s</w:t>
      </w:r>
      <w:r w:rsidR="007C3C1F">
        <w:t xml:space="preserve">chools across the country will be grappling with the lasting effects of the </w:t>
      </w:r>
      <w:r>
        <w:t xml:space="preserve">COVID-19 </w:t>
      </w:r>
      <w:r w:rsidR="007C3C1F">
        <w:t xml:space="preserve">pandemic on staff, students, and families for the foreseeable future, laboratory schools may face particular challenges. </w:t>
      </w:r>
      <w:r>
        <w:t>The Evaluation Team highlights three of these challenges below.</w:t>
      </w:r>
    </w:p>
    <w:p w14:paraId="641EBB68" w14:textId="77777777" w:rsidR="00CC5CFF" w:rsidRDefault="00CC5CFF" w:rsidP="00CC5CFF">
      <w:pPr>
        <w:spacing w:after="0" w:line="240" w:lineRule="auto"/>
        <w:jc w:val="both"/>
        <w:rPr>
          <w:i/>
          <w:iCs/>
        </w:rPr>
      </w:pPr>
    </w:p>
    <w:p w14:paraId="1CFCFD59" w14:textId="6783189E" w:rsidR="007C3C1F" w:rsidRDefault="007C3C1F" w:rsidP="00CC5CFF">
      <w:pPr>
        <w:spacing w:after="0" w:line="240" w:lineRule="auto"/>
        <w:jc w:val="both"/>
      </w:pPr>
      <w:r w:rsidRPr="008F3AF8">
        <w:rPr>
          <w:i/>
          <w:iCs/>
        </w:rPr>
        <w:t>Student achievement.</w:t>
      </w:r>
      <w:r>
        <w:t xml:space="preserve"> Recent research suggests that students will likely experience significant learning loss </w:t>
      </w:r>
      <w:r w:rsidR="0042030F">
        <w:t xml:space="preserve">due to school closures </w:t>
      </w:r>
      <w:r>
        <w:t>and that</w:t>
      </w:r>
      <w:r w:rsidR="009266E7">
        <w:t xml:space="preserve"> learning loss may be particularly exaggerated for low-performing students—the population of students that laboratory schools are designed to serve.</w:t>
      </w:r>
      <w:r>
        <w:rPr>
          <w:rStyle w:val="FootnoteReference"/>
        </w:rPr>
        <w:footnoteReference w:id="57"/>
      </w:r>
      <w:r>
        <w:t xml:space="preserve"> Beyond academic learning gaps, many students </w:t>
      </w:r>
      <w:r w:rsidR="0042030F">
        <w:t xml:space="preserve">may </w:t>
      </w:r>
      <w:r>
        <w:t>be grappling with social, emotional, and mental health challenges associated with the effects of the pandemic.</w:t>
      </w:r>
      <w:r>
        <w:rPr>
          <w:rStyle w:val="FootnoteReference"/>
        </w:rPr>
        <w:footnoteReference w:id="58"/>
      </w:r>
      <w:r>
        <w:t xml:space="preserve"> Laboratory school students may be disproportionately affected by these challenges given the disproportionate impact of the pandemic on low-income communities and communities of color.</w:t>
      </w:r>
      <w:r>
        <w:rPr>
          <w:rStyle w:val="FootnoteReference"/>
        </w:rPr>
        <w:footnoteReference w:id="59"/>
      </w:r>
      <w:r>
        <w:t xml:space="preserve"> Laboratory school leaders expressed universal concern about </w:t>
      </w:r>
      <w:r>
        <w:lastRenderedPageBreak/>
        <w:t>meeting heightened student needs, both academically and otherwise, as they transition</w:t>
      </w:r>
      <w:r w:rsidR="00CF6614">
        <w:t>ed</w:t>
      </w:r>
      <w:r>
        <w:t xml:space="preserve"> back to school in the fall. </w:t>
      </w:r>
    </w:p>
    <w:p w14:paraId="01B14A53" w14:textId="77777777" w:rsidR="00DF15E0" w:rsidRDefault="00DF15E0" w:rsidP="00CC5CFF">
      <w:pPr>
        <w:spacing w:after="0" w:line="240" w:lineRule="auto"/>
        <w:jc w:val="both"/>
        <w:rPr>
          <w:i/>
          <w:iCs/>
        </w:rPr>
      </w:pPr>
    </w:p>
    <w:p w14:paraId="308FF1C3" w14:textId="701D1BCE" w:rsidR="007C3C1F" w:rsidRDefault="007C3C1F" w:rsidP="00CC5CFF">
      <w:pPr>
        <w:spacing w:after="0" w:line="240" w:lineRule="auto"/>
        <w:jc w:val="both"/>
      </w:pPr>
      <w:r w:rsidRPr="00531C9D">
        <w:rPr>
          <w:i/>
          <w:iCs/>
        </w:rPr>
        <w:t>Enrollment.</w:t>
      </w:r>
      <w:r>
        <w:t xml:space="preserve"> </w:t>
      </w:r>
      <w:r w:rsidR="00CC6DED">
        <w:t xml:space="preserve">During the COVID-19 pandemic, laboratory school leaders continued to focus on the recruitment and enrollment of new students. </w:t>
      </w:r>
      <w:r>
        <w:t>Prior to the pandemic, most laboratory schools used various forms of in-person recruitment strategies, including open houses and meetings held at community-based organizations. However, all laboratory schools shifted their recruitment efforts to rely exclusively on virtual outreach through laboratory school websites, social media platforms, and online enrollment portals. In spring 2020, laboratory school leaders were optimistic about enrollment and re-enrollment for the fall</w:t>
      </w:r>
      <w:r w:rsidR="00CC6DED">
        <w:t>, noting that as of summer 2020, drops in student enrollment were no larger during the COVID-19 pandemic than in previous years (given the natural transitions in the student populations served by laboratory schools)</w:t>
      </w:r>
      <w:r w:rsidR="005525E2">
        <w:t>. Overall, enrollment data from the 20</w:t>
      </w:r>
      <w:r w:rsidR="005525E2" w:rsidRPr="005525E2">
        <w:rPr>
          <w:vertAlign w:val="superscript"/>
        </w:rPr>
        <w:t>th</w:t>
      </w:r>
      <w:r w:rsidR="005525E2">
        <w:t xml:space="preserve"> day of the 2020-21 school year indicate that COVID-19 may have adversely impacted marketing, </w:t>
      </w:r>
      <w:r w:rsidR="005525E2">
        <w:t xml:space="preserve">as </w:t>
      </w:r>
      <w:r w:rsidR="00632CFB">
        <w:t xml:space="preserve">each </w:t>
      </w:r>
      <w:r w:rsidR="005525E2">
        <w:t xml:space="preserve">laboratory schools experienced declines in enrollment between the </w:t>
      </w:r>
      <w:r w:rsidR="00632CFB">
        <w:t>20</w:t>
      </w:r>
      <w:r w:rsidR="00632CFB" w:rsidRPr="00632CFB">
        <w:rPr>
          <w:vertAlign w:val="superscript"/>
        </w:rPr>
        <w:t>th</w:t>
      </w:r>
      <w:r w:rsidR="00632CFB">
        <w:t xml:space="preserve"> day of the 2019-20 and 2020-21 sc</w:t>
      </w:r>
      <w:r w:rsidR="00632CFB">
        <w:t>hool years.</w:t>
      </w:r>
      <w:r w:rsidR="00FE5C5C">
        <w:t xml:space="preserve"> In 2020-21, the Academy at Middle Fork (Appalachian State) enrolled 99 percent of its 2019-20 enrollment; ECU Community School enrolled 93 percent; Moss Street Partnership School (UNCG) enrolled 85 percent; D.C. Virgo Preparatory Academy (UNCW) enrolled 94 percent; and The Catamount School (WCU) enrolled 72 percent.</w:t>
      </w:r>
      <w:r w:rsidR="00FE5C5C">
        <w:rPr>
          <w:rStyle w:val="FootnoteReference"/>
        </w:rPr>
        <w:footnoteReference w:id="60"/>
      </w:r>
      <w:r w:rsidR="00FE5C5C">
        <w:t xml:space="preserve"> </w:t>
      </w:r>
      <w:r w:rsidR="00FE5C5C">
        <w:rPr>
          <w:bCs/>
        </w:rPr>
        <w:t>Further, the Niner University Elementary School’s inaugural enrollment was only 49 percent of the UNCC laboratory school planning team’s enrollment goal.</w:t>
      </w:r>
      <w:r w:rsidR="00FE5C5C">
        <w:rPr>
          <w:rStyle w:val="FootnoteReference"/>
          <w:bCs/>
        </w:rPr>
        <w:footnoteReference w:id="61"/>
      </w:r>
    </w:p>
    <w:p w14:paraId="32335BF7" w14:textId="775BD005" w:rsidR="005525E2" w:rsidRDefault="005525E2" w:rsidP="00CC5CFF">
      <w:pPr>
        <w:spacing w:after="0" w:line="240" w:lineRule="auto"/>
        <w:jc w:val="both"/>
      </w:pPr>
    </w:p>
    <w:p w14:paraId="5970025F" w14:textId="1D3DD7A6" w:rsidR="0064058D" w:rsidRDefault="007C3C1F" w:rsidP="00AA2754">
      <w:pPr>
        <w:pStyle w:val="Bibliography"/>
        <w:spacing w:after="0" w:line="240" w:lineRule="auto"/>
        <w:jc w:val="both"/>
      </w:pPr>
      <w:r w:rsidRPr="00531C9D">
        <w:rPr>
          <w:i/>
          <w:iCs/>
        </w:rPr>
        <w:t>School reopening conditions.</w:t>
      </w:r>
      <w:r>
        <w:t xml:space="preserve"> </w:t>
      </w:r>
      <w:r w:rsidR="0064058D">
        <w:t>On June 11, the North Carolina State Board of Education released a comprehensive guidebook for safely reopening schools in August 2020.</w:t>
      </w:r>
      <w:r w:rsidR="0064058D">
        <w:rPr>
          <w:rStyle w:val="FootnoteReference"/>
        </w:rPr>
        <w:footnoteReference w:id="62"/>
      </w:r>
      <w:r w:rsidR="0064058D">
        <w:t xml:space="preserve"> The State Board directed North Carolina school districts to develop by July 1 reopening plans under three scenarios: Plan A</w:t>
      </w:r>
      <w:r w:rsidR="00163554">
        <w:t>,</w:t>
      </w:r>
      <w:r w:rsidR="0064058D">
        <w:t xml:space="preserve"> </w:t>
      </w:r>
      <w:r w:rsidR="0064058D" w:rsidRPr="00F27A62">
        <w:t xml:space="preserve">in-person learning for all students; </w:t>
      </w:r>
      <w:r w:rsidR="0064058D">
        <w:t>Plan B</w:t>
      </w:r>
      <w:r w:rsidR="00163554">
        <w:t>,</w:t>
      </w:r>
      <w:r w:rsidR="0064058D">
        <w:t xml:space="preserve"> a “hybrid” approach combining in-person and remote learning; or Plan C</w:t>
      </w:r>
      <w:r w:rsidR="00163554">
        <w:t>,</w:t>
      </w:r>
      <w:r w:rsidR="0064058D">
        <w:t xml:space="preserve"> </w:t>
      </w:r>
      <w:r w:rsidR="0064058D" w:rsidRPr="00F27A62">
        <w:t>remote instruction for all students</w:t>
      </w:r>
      <w:r w:rsidR="0064058D">
        <w:t>. On July 14, Governor Cooper directed all schools to reopen at reduced capacity under a Plan B</w:t>
      </w:r>
      <w:r w:rsidR="002B2D82">
        <w:t xml:space="preserve"> or</w:t>
      </w:r>
      <w:r w:rsidR="0064058D">
        <w:t xml:space="preserve"> hybrid learning scenario. Districts were also given the option to reopen with remote learning for all students. </w:t>
      </w:r>
      <w:r w:rsidR="0064058D" w:rsidRPr="00584AAA">
        <w:t>All laboratory schools adopted reopening strategies aligned with their host district’s approach. The Academy at Middle Fork</w:t>
      </w:r>
      <w:r w:rsidR="002B2D82">
        <w:t xml:space="preserve"> (Appalachian State)</w:t>
      </w:r>
      <w:r w:rsidR="0064058D" w:rsidRPr="00584AAA">
        <w:t>, D.C. Virgo Preparatory Academy (UNCW), Moss Street Partnership School (UNCG), and Niner University Elementary School (UNCC) reopened with remote learning for all students</w:t>
      </w:r>
      <w:r w:rsidR="0064058D">
        <w:t>.</w:t>
      </w:r>
      <w:r w:rsidR="0064058D">
        <w:rPr>
          <w:rStyle w:val="FootnoteReference"/>
        </w:rPr>
        <w:footnoteReference w:id="63"/>
      </w:r>
      <w:r w:rsidR="0064058D">
        <w:t xml:space="preserve"> </w:t>
      </w:r>
      <w:r w:rsidR="0064058D" w:rsidRPr="00584AAA">
        <w:t>The Catamount School (WCU) reopened u</w:t>
      </w:r>
      <w:r w:rsidR="002B2D82">
        <w:t xml:space="preserve">sing </w:t>
      </w:r>
      <w:r w:rsidR="0064058D" w:rsidRPr="00584AAA">
        <w:t xml:space="preserve">a hybrid approach for the first two weeks then transitioned to remote instruction for all students for the </w:t>
      </w:r>
      <w:r w:rsidR="0064058D">
        <w:t>7-</w:t>
      </w:r>
      <w:r w:rsidR="0064058D">
        <w:lastRenderedPageBreak/>
        <w:t xml:space="preserve">week </w:t>
      </w:r>
      <w:r w:rsidR="0064058D" w:rsidRPr="00584AAA">
        <w:t xml:space="preserve">remainder of the first quarter. </w:t>
      </w:r>
      <w:r w:rsidR="00AA2754">
        <w:t xml:space="preserve">The </w:t>
      </w:r>
      <w:r w:rsidR="0064058D" w:rsidRPr="00584AAA">
        <w:t>ECU Community School offered students three options: in-person learning at school; scheduled synchronous remote learning; and unscheduled asynchronous remote learnin</w:t>
      </w:r>
      <w:r w:rsidR="0064058D">
        <w:t>g.</w:t>
      </w:r>
    </w:p>
    <w:p w14:paraId="68478E89" w14:textId="1C33FE0E" w:rsidR="00E63606" w:rsidRDefault="00E63606" w:rsidP="0064058D">
      <w:pPr>
        <w:spacing w:after="0" w:line="240" w:lineRule="auto"/>
        <w:jc w:val="both"/>
      </w:pPr>
    </w:p>
    <w:p w14:paraId="2D7BB4F5" w14:textId="24825EEE" w:rsidR="00E63606" w:rsidRDefault="00FD7C24" w:rsidP="00E63606">
      <w:pPr>
        <w:spacing w:after="0" w:line="240" w:lineRule="auto"/>
        <w:jc w:val="both"/>
      </w:pPr>
      <w:r>
        <w:t>When operating under a remote learning plan for all students, l</w:t>
      </w:r>
      <w:r w:rsidR="00E63606" w:rsidRPr="00584AAA">
        <w:t xml:space="preserve">aboratory schools provided </w:t>
      </w:r>
      <w:r w:rsidR="00E63606">
        <w:t>regular</w:t>
      </w:r>
      <w:r w:rsidR="00E63606" w:rsidRPr="00584AAA">
        <w:t xml:space="preserve"> synchronous and asynchronous instruction</w:t>
      </w:r>
      <w:r w:rsidR="00E63606">
        <w:t>. They also adapted their strategies for engaging preservice candidates and COE faculty to accommodate remote</w:t>
      </w:r>
      <w:r w:rsidR="002417A3">
        <w:t xml:space="preserve"> </w:t>
      </w:r>
      <w:r w:rsidR="00E63606">
        <w:t>instruction. F</w:t>
      </w:r>
      <w:r w:rsidR="00AE23F2">
        <w:t>ive</w:t>
      </w:r>
      <w:r w:rsidR="00E63606">
        <w:t xml:space="preserve"> laboratory schools </w:t>
      </w:r>
      <w:r>
        <w:t>engaged</w:t>
      </w:r>
      <w:r w:rsidR="00E63606">
        <w:t xml:space="preserve"> preservice candidates in the fall </w:t>
      </w:r>
      <w:r w:rsidR="00AA2754">
        <w:t xml:space="preserve">2020 </w:t>
      </w:r>
      <w:r w:rsidR="00E63606">
        <w:t>semester</w:t>
      </w:r>
      <w:r>
        <w:t xml:space="preserve"> </w:t>
      </w:r>
      <w:r w:rsidR="00E63606">
        <w:t xml:space="preserve">under the supervision of COE and other university institution faculty and laboratory </w:t>
      </w:r>
      <w:proofErr w:type="gramStart"/>
      <w:r w:rsidR="00E63606">
        <w:t>school teachers</w:t>
      </w:r>
      <w:proofErr w:type="gramEnd"/>
      <w:r w:rsidR="00E63606">
        <w:t xml:space="preserve"> and staff. </w:t>
      </w:r>
      <w:r w:rsidR="00AE23F2">
        <w:t xml:space="preserve">The Academy at Middle Fork (Appalachian State), </w:t>
      </w:r>
      <w:r w:rsidR="00E63606">
        <w:t xml:space="preserve">The Catamount School </w:t>
      </w:r>
      <w:r w:rsidR="00FF288B">
        <w:t>(WCU)</w:t>
      </w:r>
      <w:r w:rsidR="00AE23F2">
        <w:t>,</w:t>
      </w:r>
      <w:r w:rsidR="00FF288B">
        <w:t xml:space="preserve"> </w:t>
      </w:r>
      <w:r w:rsidR="005C3708">
        <w:t xml:space="preserve">ECU Community School </w:t>
      </w:r>
      <w:r w:rsidR="00E63606">
        <w:t>and Moss Street Partnership School</w:t>
      </w:r>
      <w:r w:rsidR="00FF288B">
        <w:t xml:space="preserve"> (UNCG)</w:t>
      </w:r>
      <w:r w:rsidR="00E63606">
        <w:t xml:space="preserve"> </w:t>
      </w:r>
      <w:r>
        <w:t>engaged</w:t>
      </w:r>
      <w:r w:rsidR="00E63606">
        <w:t xml:space="preserve"> preservice teaching interns</w:t>
      </w:r>
      <w:r>
        <w:t xml:space="preserve"> to support instruction</w:t>
      </w:r>
      <w:r w:rsidR="00E63606">
        <w:t xml:space="preserve">. Only D.C. Virgo Preparatory Academy (UNCW) </w:t>
      </w:r>
      <w:r>
        <w:t xml:space="preserve">engaged </w:t>
      </w:r>
      <w:r w:rsidR="00E63606">
        <w:t>preservice leader candidates, including two M</w:t>
      </w:r>
      <w:r w:rsidR="002B2D82">
        <w:t xml:space="preserve">aster of School </w:t>
      </w:r>
      <w:r w:rsidR="005A7117">
        <w:t>Administration</w:t>
      </w:r>
      <w:r w:rsidR="00E63606">
        <w:t xml:space="preserve"> </w:t>
      </w:r>
      <w:r w:rsidR="005A7117">
        <w:t xml:space="preserve">candidates </w:t>
      </w:r>
      <w:r w:rsidR="00E63606">
        <w:t>and a</w:t>
      </w:r>
      <w:r w:rsidR="00FF288B">
        <w:t>n</w:t>
      </w:r>
      <w:r w:rsidR="00E63606">
        <w:t xml:space="preserve"> NC Principal Fellow. The Catamount School (WCU), ECU Community School, Moss Street Partnership School (UNCG), and Niner University Elementary School (UNCC) </w:t>
      </w:r>
      <w:r>
        <w:t>engaged</w:t>
      </w:r>
      <w:r w:rsidR="00E63606">
        <w:t xml:space="preserve"> preservice candidates in other disciplines, including counseling, social work, nursing, speech/language, and inclusive education, who conducted activities or provided supports to students virtually. Candidates in Appalachian State’s reading education master</w:t>
      </w:r>
      <w:r w:rsidR="00FF288B">
        <w:t>’</w:t>
      </w:r>
      <w:r w:rsidR="00E63606">
        <w:t>s program supported synchronous instruction for Academy at Middle Fork students through the COE’s Anderson Reading Clinic. At D.C. Virgo Preparatory Academy (UNCW) and the Academy at Middle Fork (Appalachian State) COE faculty serving in faculty-in-residence roles also provided specific support for virtual learning: two faculty-in-residence at D.C. Virgo Preparatory Academy focused on promoting equity in curriculum and instruction and online/blended learning and one faculty-in-residence at the Academy at Middle Fork facilitated remote instruction for the school’s academically gifted students program.</w:t>
      </w:r>
    </w:p>
    <w:p w14:paraId="11A6223A" w14:textId="77777777" w:rsidR="00E63606" w:rsidRDefault="00E63606" w:rsidP="0064058D">
      <w:pPr>
        <w:spacing w:after="0" w:line="240" w:lineRule="auto"/>
        <w:jc w:val="both"/>
      </w:pPr>
    </w:p>
    <w:p w14:paraId="53FC1E74" w14:textId="090FC8E6" w:rsidR="0064058D" w:rsidRPr="005A202D" w:rsidDel="00126A3A" w:rsidRDefault="0064058D" w:rsidP="0064058D">
      <w:pPr>
        <w:rPr>
          <w:del w:id="17" w:author="Juli Kim" w:date="2020-09-09T17:34:00Z"/>
        </w:rPr>
        <w:sectPr w:rsidR="0064058D" w:rsidRPr="005A202D" w:rsidDel="00126A3A" w:rsidSect="00380E90">
          <w:pgSz w:w="12240" w:h="15840"/>
          <w:pgMar w:top="1440" w:right="1440" w:bottom="1440" w:left="1440" w:header="720" w:footer="720" w:gutter="0"/>
          <w:cols w:space="720"/>
          <w:docGrid w:linePitch="360"/>
        </w:sectPr>
      </w:pPr>
    </w:p>
    <w:p w14:paraId="10D5DB8D" w14:textId="4B2D75FF" w:rsidR="00167208" w:rsidRPr="009A2964" w:rsidRDefault="00167208" w:rsidP="00167208">
      <w:pPr>
        <w:pStyle w:val="Heading1"/>
        <w:spacing w:before="0" w:after="0" w:line="240" w:lineRule="auto"/>
        <w:rPr>
          <w:rFonts w:asciiTheme="minorHAnsi" w:hAnsiTheme="minorHAnsi" w:cstheme="minorHAnsi"/>
          <w:color w:val="auto"/>
          <w:szCs w:val="22"/>
        </w:rPr>
      </w:pPr>
      <w:r>
        <w:rPr>
          <w:rFonts w:asciiTheme="minorHAnsi" w:hAnsiTheme="minorHAnsi" w:cstheme="minorHAnsi"/>
          <w:color w:val="auto"/>
          <w:szCs w:val="22"/>
        </w:rPr>
        <w:lastRenderedPageBreak/>
        <w:t xml:space="preserve">Appendix </w:t>
      </w:r>
      <w:r w:rsidR="00482616">
        <w:rPr>
          <w:rFonts w:asciiTheme="minorHAnsi" w:hAnsiTheme="minorHAnsi" w:cstheme="minorHAnsi"/>
          <w:color w:val="auto"/>
          <w:szCs w:val="22"/>
        </w:rPr>
        <w:t>A2</w:t>
      </w:r>
      <w:r>
        <w:rPr>
          <w:rFonts w:asciiTheme="minorHAnsi" w:hAnsiTheme="minorHAnsi" w:cstheme="minorHAnsi"/>
          <w:color w:val="auto"/>
          <w:szCs w:val="22"/>
        </w:rPr>
        <w:t xml:space="preserve">:  </w:t>
      </w:r>
      <w:r w:rsidRPr="009A2964">
        <w:rPr>
          <w:rFonts w:asciiTheme="minorHAnsi" w:hAnsiTheme="minorHAnsi" w:cstheme="minorHAnsi"/>
          <w:color w:val="auto"/>
          <w:szCs w:val="22"/>
        </w:rPr>
        <w:t>Data Sources</w:t>
      </w:r>
    </w:p>
    <w:p w14:paraId="77545B27" w14:textId="77777777" w:rsidR="00167208" w:rsidRPr="004A3BEE" w:rsidRDefault="00167208" w:rsidP="00167208">
      <w:pPr>
        <w:spacing w:after="0" w:line="240" w:lineRule="auto"/>
        <w:jc w:val="both"/>
        <w:rPr>
          <w:rFonts w:cstheme="minorHAnsi"/>
        </w:rPr>
      </w:pPr>
    </w:p>
    <w:p w14:paraId="7A39EA70" w14:textId="0A2D1B0A" w:rsidR="00167208" w:rsidRPr="004A3BEE" w:rsidRDefault="00167208" w:rsidP="00167208">
      <w:pPr>
        <w:spacing w:after="0" w:line="240" w:lineRule="auto"/>
        <w:jc w:val="both"/>
        <w:rPr>
          <w:rFonts w:cstheme="minorHAnsi"/>
        </w:rPr>
      </w:pPr>
      <w:r w:rsidRPr="004A3BEE">
        <w:rPr>
          <w:rFonts w:cstheme="minorHAnsi"/>
        </w:rPr>
        <w:t>To complete an in-depth review of the laboratory schools, the Evaluation Team will rely on five main data sources: (1) interviews with university and laboratory school leadership, personnel, and partners; (2) laboratory school status reports completed by UNC System COE; (3) administrative data on students</w:t>
      </w:r>
      <w:r w:rsidR="00775927">
        <w:rPr>
          <w:rFonts w:cstheme="minorHAnsi"/>
        </w:rPr>
        <w:t xml:space="preserve"> </w:t>
      </w:r>
      <w:r w:rsidRPr="004A3BEE">
        <w:rPr>
          <w:rFonts w:cstheme="minorHAnsi"/>
        </w:rPr>
        <w:t>and school personnel from the NCDPI; (4) survey responses from laboratory school students and families and from beginning teachers and their employers; and (5) administrative data from COE</w:t>
      </w:r>
      <w:r w:rsidR="00521E1B">
        <w:rPr>
          <w:rFonts w:cstheme="minorHAnsi"/>
        </w:rPr>
        <w:t>s</w:t>
      </w:r>
      <w:r w:rsidRPr="004A3BEE">
        <w:rPr>
          <w:rFonts w:cstheme="minorHAnsi"/>
        </w:rPr>
        <w:t xml:space="preserve"> on educator preparation programs and pre-service candidates.</w:t>
      </w:r>
      <w:r w:rsidR="00521E1B">
        <w:rPr>
          <w:rFonts w:cstheme="minorHAnsi"/>
        </w:rPr>
        <w:t xml:space="preserve"> Below, the Evaluation Team briefly reviews each of these data sources.</w:t>
      </w:r>
    </w:p>
    <w:p w14:paraId="1AE3D3E2" w14:textId="77777777" w:rsidR="00167208" w:rsidRPr="004A3BEE" w:rsidRDefault="00167208" w:rsidP="00167208">
      <w:pPr>
        <w:spacing w:after="0" w:line="240" w:lineRule="auto"/>
        <w:jc w:val="both"/>
        <w:rPr>
          <w:rFonts w:cstheme="minorHAnsi"/>
        </w:rPr>
      </w:pPr>
    </w:p>
    <w:p w14:paraId="371A5447" w14:textId="77777777" w:rsidR="00167208" w:rsidRPr="004A3BEE" w:rsidRDefault="00167208" w:rsidP="00167208">
      <w:pPr>
        <w:pStyle w:val="Heading2"/>
        <w:spacing w:before="0" w:after="0" w:line="240" w:lineRule="auto"/>
        <w:rPr>
          <w:rFonts w:cstheme="minorHAnsi"/>
          <w:sz w:val="22"/>
          <w:szCs w:val="22"/>
        </w:rPr>
      </w:pPr>
      <w:r w:rsidRPr="004A3BEE">
        <w:rPr>
          <w:rFonts w:cstheme="minorHAnsi"/>
          <w:sz w:val="22"/>
          <w:szCs w:val="22"/>
        </w:rPr>
        <w:t>Laboratory School Interviews</w:t>
      </w:r>
    </w:p>
    <w:p w14:paraId="081FF353" w14:textId="77777777" w:rsidR="00167208" w:rsidRPr="004A3BEE" w:rsidRDefault="00167208" w:rsidP="00167208">
      <w:pPr>
        <w:spacing w:after="0" w:line="240" w:lineRule="auto"/>
        <w:jc w:val="both"/>
        <w:rPr>
          <w:rFonts w:cstheme="minorHAnsi"/>
        </w:rPr>
      </w:pPr>
    </w:p>
    <w:p w14:paraId="4CC66E39" w14:textId="3F37D23B" w:rsidR="00167208" w:rsidRPr="004A3BEE" w:rsidRDefault="00167208" w:rsidP="00167208">
      <w:pPr>
        <w:spacing w:after="0" w:line="240" w:lineRule="auto"/>
        <w:jc w:val="both"/>
        <w:rPr>
          <w:rFonts w:cstheme="minorHAnsi"/>
        </w:rPr>
      </w:pPr>
      <w:r w:rsidRPr="004A3BEE">
        <w:rPr>
          <w:rFonts w:cstheme="minorHAnsi"/>
        </w:rPr>
        <w:t xml:space="preserve">For each UNC </w:t>
      </w:r>
      <w:r w:rsidR="00775927">
        <w:rPr>
          <w:rFonts w:cstheme="minorHAnsi"/>
        </w:rPr>
        <w:t>S</w:t>
      </w:r>
      <w:r w:rsidRPr="004A3BEE">
        <w:rPr>
          <w:rFonts w:cstheme="minorHAnsi"/>
        </w:rPr>
        <w:t xml:space="preserve">ystem laboratory school, the Evaluation Team will conduct interviews at two time points during the evaluation. First, during the spring of a laboratory school’s first-year of operation, the Evaluation Team will interview COE leadership and faculty, laboratory school personnel (e.g., teachers, principals, pre-service teachers), and laboratory school partners (within the local community and from across the university). These interviews will assist the Evaluation Team in understanding how the laboratory schools have been set up, with whom the laboratory schools are partnering, how the laboratory schools are operated, and the relationships between educator preparation and the laboratory schools. The Evaluation Team conducted these interviews with </w:t>
      </w:r>
      <w:r w:rsidR="00521E1B">
        <w:rPr>
          <w:rFonts w:cstheme="minorHAnsi"/>
        </w:rPr>
        <w:t xml:space="preserve">ECU and WCU in April 2018 and with </w:t>
      </w:r>
      <w:r>
        <w:rPr>
          <w:rFonts w:cstheme="minorHAnsi"/>
        </w:rPr>
        <w:t>Appalachian State, UNCG, and UNCW</w:t>
      </w:r>
      <w:r w:rsidR="009D6F5F">
        <w:rPr>
          <w:rFonts w:cstheme="minorHAnsi"/>
        </w:rPr>
        <w:t xml:space="preserve"> in April</w:t>
      </w:r>
      <w:r w:rsidRPr="004A3BEE">
        <w:rPr>
          <w:rFonts w:cstheme="minorHAnsi"/>
        </w:rPr>
        <w:t xml:space="preserve"> 201</w:t>
      </w:r>
      <w:r>
        <w:rPr>
          <w:rFonts w:cstheme="minorHAnsi"/>
        </w:rPr>
        <w:t>9</w:t>
      </w:r>
      <w:r w:rsidRPr="004A3BEE">
        <w:rPr>
          <w:rFonts w:cstheme="minorHAnsi"/>
        </w:rPr>
        <w:t xml:space="preserve">.  </w:t>
      </w:r>
    </w:p>
    <w:p w14:paraId="737F6DF3" w14:textId="77777777" w:rsidR="00167208" w:rsidRPr="004A3BEE" w:rsidRDefault="00167208" w:rsidP="00167208">
      <w:pPr>
        <w:spacing w:after="0" w:line="240" w:lineRule="auto"/>
        <w:jc w:val="both"/>
        <w:rPr>
          <w:rFonts w:cstheme="minorHAnsi"/>
        </w:rPr>
      </w:pPr>
    </w:p>
    <w:p w14:paraId="7AA9FD08" w14:textId="77777777" w:rsidR="00167208" w:rsidRPr="004A3BEE" w:rsidRDefault="00167208" w:rsidP="00167208">
      <w:pPr>
        <w:spacing w:after="0" w:line="240" w:lineRule="auto"/>
        <w:jc w:val="both"/>
        <w:rPr>
          <w:rFonts w:cstheme="minorHAnsi"/>
        </w:rPr>
      </w:pPr>
      <w:r w:rsidRPr="004A3BEE">
        <w:rPr>
          <w:rFonts w:cstheme="minorHAnsi"/>
        </w:rPr>
        <w:t>Second, during the last year of the laboratory school evaluation (2022), the Evaluation Team will conduct interviews at each laboratory school. These interviews will be scheduled with many of the same personnel as during the first phase of interviews and will allow the Evaluation Team to assess the development and growth of the laboratory schools.</w:t>
      </w:r>
    </w:p>
    <w:p w14:paraId="665D228D" w14:textId="77777777" w:rsidR="00167208" w:rsidRPr="004A3BEE" w:rsidRDefault="00167208" w:rsidP="00167208">
      <w:pPr>
        <w:spacing w:after="0" w:line="240" w:lineRule="auto"/>
        <w:jc w:val="both"/>
        <w:rPr>
          <w:rFonts w:cstheme="minorHAnsi"/>
        </w:rPr>
      </w:pPr>
    </w:p>
    <w:p w14:paraId="229460EB" w14:textId="6A107810" w:rsidR="00A16898" w:rsidRDefault="00167208" w:rsidP="00167208">
      <w:pPr>
        <w:spacing w:after="0" w:line="240" w:lineRule="auto"/>
        <w:jc w:val="both"/>
        <w:rPr>
          <w:rFonts w:cstheme="minorHAnsi"/>
        </w:rPr>
      </w:pPr>
      <w:r w:rsidRPr="004A3BEE">
        <w:rPr>
          <w:rFonts w:cstheme="minorHAnsi"/>
        </w:rPr>
        <w:t>In addition to interviews at each laboratory school site, the Evaluation Team conducted interviews in</w:t>
      </w:r>
      <w:r w:rsidR="00A16898">
        <w:rPr>
          <w:rFonts w:cstheme="minorHAnsi"/>
        </w:rPr>
        <w:t xml:space="preserve"> 2018 and 2019 with leadership at the UNC System Office. These interviews focused on the planning, set up, and governance of laboratory schools.</w:t>
      </w:r>
    </w:p>
    <w:p w14:paraId="033EBD54" w14:textId="77777777" w:rsidR="00167208" w:rsidRPr="004A3BEE" w:rsidRDefault="00167208" w:rsidP="00167208">
      <w:pPr>
        <w:pStyle w:val="Heading2"/>
        <w:spacing w:before="0" w:after="0" w:line="240" w:lineRule="auto"/>
        <w:rPr>
          <w:rFonts w:cstheme="minorHAnsi"/>
          <w:sz w:val="22"/>
          <w:szCs w:val="22"/>
        </w:rPr>
      </w:pPr>
    </w:p>
    <w:p w14:paraId="18F2037A" w14:textId="77777777" w:rsidR="00167208" w:rsidRPr="004A3BEE" w:rsidRDefault="00167208" w:rsidP="00167208">
      <w:pPr>
        <w:pStyle w:val="Heading2"/>
        <w:spacing w:before="0" w:after="0" w:line="240" w:lineRule="auto"/>
        <w:rPr>
          <w:rFonts w:cstheme="minorHAnsi"/>
          <w:sz w:val="22"/>
          <w:szCs w:val="22"/>
        </w:rPr>
      </w:pPr>
      <w:r w:rsidRPr="004A3BEE">
        <w:rPr>
          <w:rFonts w:cstheme="minorHAnsi"/>
          <w:sz w:val="22"/>
          <w:szCs w:val="22"/>
        </w:rPr>
        <w:t>Laboratory School Status Reports</w:t>
      </w:r>
    </w:p>
    <w:p w14:paraId="177C2F80" w14:textId="77777777" w:rsidR="00167208" w:rsidRPr="004A3BEE" w:rsidRDefault="00167208" w:rsidP="00167208">
      <w:pPr>
        <w:spacing w:after="0" w:line="240" w:lineRule="auto"/>
        <w:jc w:val="both"/>
        <w:rPr>
          <w:rFonts w:cstheme="minorHAnsi"/>
        </w:rPr>
      </w:pPr>
    </w:p>
    <w:p w14:paraId="1236F341" w14:textId="14DADDCC" w:rsidR="00167208" w:rsidRPr="004A3BEE" w:rsidRDefault="00167208" w:rsidP="00167208">
      <w:pPr>
        <w:spacing w:after="0" w:line="240" w:lineRule="auto"/>
        <w:jc w:val="both"/>
        <w:rPr>
          <w:rFonts w:cstheme="minorHAnsi"/>
        </w:rPr>
      </w:pPr>
      <w:r w:rsidRPr="004A3BEE">
        <w:rPr>
          <w:rFonts w:cstheme="minorHAnsi"/>
        </w:rPr>
        <w:t>To complement the interviews with university and laboratory school stakeholders, the Evaluation Team will collect status reports from the UNC System COE</w:t>
      </w:r>
      <w:r w:rsidR="00A16898">
        <w:rPr>
          <w:rFonts w:cstheme="minorHAnsi"/>
        </w:rPr>
        <w:t>s</w:t>
      </w:r>
      <w:r w:rsidRPr="004A3BEE">
        <w:rPr>
          <w:rFonts w:cstheme="minorHAnsi"/>
        </w:rPr>
        <w:t xml:space="preserve"> that are operating laboratory schools. These status reports include a set of pre-specified questions, to be completed by the COE Dean or his/her designee, that allow UNC System institutions to describe: (1) the design of their laboratory school; (2) the marketing and management of their laboratory school; (3) key laboratory school partners and the services they provide; (4) the relationship between educator preparation and the laboratory school; and (5) challenges and successes in setting up and developing the laboratory school. </w:t>
      </w:r>
    </w:p>
    <w:p w14:paraId="611ECF77" w14:textId="77777777" w:rsidR="00167208" w:rsidRPr="004A3BEE" w:rsidRDefault="00167208" w:rsidP="00167208">
      <w:pPr>
        <w:spacing w:after="0" w:line="240" w:lineRule="auto"/>
        <w:jc w:val="both"/>
        <w:rPr>
          <w:rFonts w:cstheme="minorHAnsi"/>
        </w:rPr>
      </w:pPr>
    </w:p>
    <w:p w14:paraId="7609F3AD" w14:textId="77777777" w:rsidR="00167208" w:rsidRPr="004A3BEE" w:rsidRDefault="00167208" w:rsidP="00167208">
      <w:pPr>
        <w:spacing w:after="0" w:line="240" w:lineRule="auto"/>
        <w:jc w:val="both"/>
        <w:rPr>
          <w:rFonts w:cstheme="minorHAnsi"/>
        </w:rPr>
      </w:pPr>
      <w:r w:rsidRPr="004A3BEE">
        <w:rPr>
          <w:rFonts w:cstheme="minorHAnsi"/>
        </w:rPr>
        <w:t>UNC System institutions will complete a status report in their last planning year prior to opening,</w:t>
      </w:r>
      <w:r w:rsidRPr="004A3BEE">
        <w:rPr>
          <w:rStyle w:val="FootnoteReference"/>
          <w:rFonts w:cstheme="minorHAnsi"/>
        </w:rPr>
        <w:footnoteReference w:id="64"/>
      </w:r>
      <w:r w:rsidRPr="004A3BEE">
        <w:rPr>
          <w:rFonts w:cstheme="minorHAnsi"/>
        </w:rPr>
        <w:t xml:space="preserve"> and with two exceptions, during each year of operation. Those exceptions are the two instances when the </w:t>
      </w:r>
      <w:r w:rsidRPr="004A3BEE">
        <w:rPr>
          <w:rFonts w:cstheme="minorHAnsi"/>
        </w:rPr>
        <w:lastRenderedPageBreak/>
        <w:t>Evaluation Team will conduct on-site interviews—the first year of laboratory school operation and the last year of the laboratory school evaluation.</w:t>
      </w:r>
    </w:p>
    <w:p w14:paraId="76D61FD1" w14:textId="77777777" w:rsidR="00167208" w:rsidRDefault="00167208" w:rsidP="00167208">
      <w:pPr>
        <w:pStyle w:val="Heading2"/>
        <w:spacing w:before="0" w:after="0" w:line="240" w:lineRule="auto"/>
        <w:rPr>
          <w:rFonts w:ascii="Times New Roman" w:hAnsi="Times New Roman" w:cs="Times New Roman"/>
        </w:rPr>
      </w:pPr>
    </w:p>
    <w:p w14:paraId="0F8F8B64" w14:textId="77777777" w:rsidR="00167208" w:rsidRPr="004A3BEE" w:rsidRDefault="00167208" w:rsidP="00167208">
      <w:pPr>
        <w:pStyle w:val="Heading2"/>
        <w:spacing w:before="0" w:after="0" w:line="240" w:lineRule="auto"/>
        <w:rPr>
          <w:rFonts w:cstheme="minorHAnsi"/>
          <w:sz w:val="22"/>
        </w:rPr>
      </w:pPr>
      <w:r w:rsidRPr="004A3BEE">
        <w:rPr>
          <w:rFonts w:cstheme="minorHAnsi"/>
          <w:sz w:val="22"/>
        </w:rPr>
        <w:t>Administrative Data from the NCDPI</w:t>
      </w:r>
    </w:p>
    <w:p w14:paraId="10E3358D" w14:textId="77777777" w:rsidR="00167208" w:rsidRPr="004A3BEE" w:rsidRDefault="00167208" w:rsidP="00167208">
      <w:pPr>
        <w:spacing w:after="0" w:line="240" w:lineRule="auto"/>
        <w:jc w:val="both"/>
        <w:rPr>
          <w:rFonts w:cstheme="minorHAnsi"/>
          <w:sz w:val="20"/>
        </w:rPr>
      </w:pPr>
    </w:p>
    <w:p w14:paraId="778A1ADE" w14:textId="006DCB5A" w:rsidR="00167208" w:rsidRPr="004A3BEE" w:rsidRDefault="00167208" w:rsidP="00167208">
      <w:pPr>
        <w:spacing w:after="0" w:line="240" w:lineRule="auto"/>
        <w:jc w:val="both"/>
        <w:rPr>
          <w:rFonts w:cstheme="minorHAnsi"/>
        </w:rPr>
      </w:pPr>
      <w:r w:rsidRPr="004A3BEE">
        <w:rPr>
          <w:rFonts w:cstheme="minorHAnsi"/>
        </w:rPr>
        <w:t>The laboratory school evaluation will use student</w:t>
      </w:r>
      <w:r w:rsidR="004E0AB8">
        <w:rPr>
          <w:rFonts w:cstheme="minorHAnsi"/>
        </w:rPr>
        <w:t xml:space="preserve"> and </w:t>
      </w:r>
      <w:r w:rsidRPr="004A3BEE">
        <w:rPr>
          <w:rFonts w:cstheme="minorHAnsi"/>
        </w:rPr>
        <w:t>school personnel data provided by the NCDPI. Student level data include demographics, absences, disciplinary incidents, and test scores on the state’s EOG exams (in mathematics, reading, and science). With these data the Evaluation Team will assess the demographics and prior achievement of students attending laboratory schools, whether laboratory schools improve the test scores of students, and whether laboratory schools benefit students’ engagement with school.</w:t>
      </w:r>
    </w:p>
    <w:p w14:paraId="08359CC8" w14:textId="77777777" w:rsidR="00167208" w:rsidRPr="004A3BEE" w:rsidRDefault="00167208" w:rsidP="00167208">
      <w:pPr>
        <w:spacing w:after="0" w:line="240" w:lineRule="auto"/>
        <w:jc w:val="both"/>
        <w:rPr>
          <w:rFonts w:cstheme="minorHAnsi"/>
        </w:rPr>
      </w:pPr>
    </w:p>
    <w:p w14:paraId="564B812F" w14:textId="4D77D2F0" w:rsidR="00167208" w:rsidRPr="004A3BEE" w:rsidRDefault="00167208" w:rsidP="00167208">
      <w:pPr>
        <w:spacing w:after="0" w:line="240" w:lineRule="auto"/>
        <w:jc w:val="both"/>
        <w:rPr>
          <w:rFonts w:cstheme="minorHAnsi"/>
        </w:rPr>
      </w:pPr>
      <w:r w:rsidRPr="004A3BEE">
        <w:rPr>
          <w:rFonts w:cstheme="minorHAnsi"/>
        </w:rPr>
        <w:t>School personnel data for teachers and administrators include their demographics, preparation/licensure, experience, credentials (e.g., advanced degrees or National Board Certification), and when available, measures of performance (e.g., Education Value-Added Assessment System (EVAAS) estimates</w:t>
      </w:r>
      <w:proofErr w:type="gramStart"/>
      <w:r w:rsidR="00F84228">
        <w:rPr>
          <w:rFonts w:cstheme="minorHAnsi"/>
        </w:rPr>
        <w:t>)</w:t>
      </w:r>
      <w:r w:rsidR="00297BF9">
        <w:rPr>
          <w:rFonts w:cstheme="minorHAnsi"/>
        </w:rPr>
        <w:t xml:space="preserve"> </w:t>
      </w:r>
      <w:r w:rsidRPr="004A3BEE">
        <w:rPr>
          <w:rFonts w:cstheme="minorHAnsi"/>
        </w:rPr>
        <w:t>.</w:t>
      </w:r>
      <w:proofErr w:type="gramEnd"/>
      <w:r w:rsidRPr="004A3BEE">
        <w:rPr>
          <w:rFonts w:cstheme="minorHAnsi"/>
        </w:rPr>
        <w:t xml:space="preserve"> With these data the Evaluation Team will assess the characteristics of the educators working in UNC System laboratory schools. Additionally, the Evaluation Team will link these school personnel files to data provided by UNC System institutions to follow pre-service candidates (teacher and school leader) into the </w:t>
      </w:r>
      <w:proofErr w:type="gramStart"/>
      <w:r w:rsidRPr="004A3BEE">
        <w:rPr>
          <w:rFonts w:cstheme="minorHAnsi"/>
        </w:rPr>
        <w:t>public school</w:t>
      </w:r>
      <w:proofErr w:type="gramEnd"/>
      <w:r w:rsidRPr="004A3BEE">
        <w:rPr>
          <w:rFonts w:cstheme="minorHAnsi"/>
        </w:rPr>
        <w:t xml:space="preserve"> workforce. This will allow the Evaluation Team to report on the workforce outcomes (e.g., employment in North Carolina public schools, teacher effectiveness, teacher retention) of UNC System graduates and to specifically assess the outcomes of early-career educators who had significant pre-service experiences in a laboratory school.</w:t>
      </w:r>
    </w:p>
    <w:p w14:paraId="29A7D878" w14:textId="77777777" w:rsidR="00167208" w:rsidRPr="004A3BEE" w:rsidRDefault="00167208" w:rsidP="00167208">
      <w:pPr>
        <w:spacing w:after="0" w:line="240" w:lineRule="auto"/>
        <w:jc w:val="both"/>
        <w:rPr>
          <w:rFonts w:cstheme="minorHAnsi"/>
        </w:rPr>
      </w:pPr>
    </w:p>
    <w:p w14:paraId="272838C1" w14:textId="44E4EC00" w:rsidR="00167208" w:rsidRDefault="00167208" w:rsidP="00167208">
      <w:pPr>
        <w:spacing w:after="0" w:line="240" w:lineRule="auto"/>
        <w:jc w:val="both"/>
        <w:rPr>
          <w:rFonts w:cstheme="minorHAnsi"/>
        </w:rPr>
      </w:pPr>
      <w:r w:rsidRPr="004A3BEE">
        <w:rPr>
          <w:rFonts w:cstheme="minorHAnsi"/>
        </w:rPr>
        <w:t>These NCDPI data are not available to the Evaluation Team for analysis until several months after the close of a school year</w:t>
      </w:r>
      <w:r>
        <w:rPr>
          <w:rFonts w:cstheme="minorHAnsi"/>
        </w:rPr>
        <w:t xml:space="preserve"> (typically November)</w:t>
      </w:r>
      <w:r w:rsidRPr="004A3BEE">
        <w:rPr>
          <w:rFonts w:cstheme="minorHAnsi"/>
        </w:rPr>
        <w:t xml:space="preserve">. As a result, evaluation reports submitted in November will not include rigorous analyses and results from the most recently completed school year. Instead, these data will be included in subsequent reports. </w:t>
      </w:r>
    </w:p>
    <w:p w14:paraId="1D3E8582" w14:textId="029486F9" w:rsidR="004E0AB8" w:rsidRDefault="004E0AB8" w:rsidP="00167208">
      <w:pPr>
        <w:spacing w:after="0" w:line="240" w:lineRule="auto"/>
        <w:jc w:val="both"/>
        <w:rPr>
          <w:rFonts w:cstheme="minorHAnsi"/>
        </w:rPr>
      </w:pPr>
    </w:p>
    <w:p w14:paraId="12AED49A" w14:textId="77777777" w:rsidR="004E0AB8" w:rsidRPr="000916FD" w:rsidRDefault="004E0AB8" w:rsidP="004E0AB8">
      <w:pPr>
        <w:pStyle w:val="Heading2"/>
        <w:spacing w:before="0" w:after="0" w:line="240" w:lineRule="auto"/>
        <w:rPr>
          <w:rFonts w:cstheme="minorHAnsi"/>
          <w:sz w:val="22"/>
          <w:szCs w:val="22"/>
        </w:rPr>
      </w:pPr>
      <w:r w:rsidRPr="000916FD">
        <w:rPr>
          <w:rFonts w:cstheme="minorHAnsi"/>
          <w:sz w:val="22"/>
          <w:szCs w:val="22"/>
        </w:rPr>
        <w:t>Survey Responses</w:t>
      </w:r>
    </w:p>
    <w:p w14:paraId="581ED4C9" w14:textId="77777777" w:rsidR="004E0AB8" w:rsidRPr="000916FD" w:rsidRDefault="004E0AB8" w:rsidP="004E0AB8">
      <w:pPr>
        <w:spacing w:after="0" w:line="240" w:lineRule="auto"/>
        <w:jc w:val="both"/>
        <w:rPr>
          <w:rFonts w:cstheme="minorHAnsi"/>
        </w:rPr>
      </w:pPr>
    </w:p>
    <w:p w14:paraId="2D3A0A51" w14:textId="037ABFF2" w:rsidR="004E0AB8" w:rsidRDefault="004E0AB8" w:rsidP="004E0AB8">
      <w:pPr>
        <w:spacing w:after="0" w:line="240" w:lineRule="auto"/>
        <w:jc w:val="both"/>
        <w:rPr>
          <w:rFonts w:cstheme="minorHAnsi"/>
        </w:rPr>
      </w:pPr>
      <w:r w:rsidRPr="000916FD">
        <w:rPr>
          <w:rFonts w:cstheme="minorHAnsi"/>
        </w:rPr>
        <w:t>To evaluate the UNC System laboratory schools, the Evaluation Team will collect survey data from multiple sources. First, the Evaluation Team has contracted with Tripod Education Partners to administer a survey to laboratory school students.</w:t>
      </w:r>
      <w:r>
        <w:rPr>
          <w:rFonts w:cstheme="minorHAnsi"/>
        </w:rPr>
        <w:t xml:space="preserve"> The Evaluation Team chose the Tripod student survey because of its established validity and reliability, the alignment between survey items and aims of the laboratory school evaluation, and its flexibility in allowing the Evaluation Team to customize questions. </w:t>
      </w:r>
      <w:r w:rsidRPr="000916FD">
        <w:rPr>
          <w:rFonts w:cstheme="minorHAnsi"/>
        </w:rPr>
        <w:t>This survey assesses students’</w:t>
      </w:r>
      <w:r>
        <w:rPr>
          <w:rFonts w:cstheme="minorHAnsi"/>
        </w:rPr>
        <w:t xml:space="preserve"> motivation for learning, engagement with school, and perceptions of academic climate. </w:t>
      </w:r>
      <w:r w:rsidRPr="000916FD">
        <w:rPr>
          <w:rFonts w:cstheme="minorHAnsi"/>
        </w:rPr>
        <w:t xml:space="preserve">The Evaluation Team administered this survey to students </w:t>
      </w:r>
      <w:r>
        <w:rPr>
          <w:rFonts w:cstheme="minorHAnsi"/>
        </w:rPr>
        <w:t>at the ECU Community School and The Catamount School in spring 2018 and to students at the Appalachian Academy at Middle Fork, the ECU Community School, the Moss Street Partnership School, the D.C. Virgo Preparatory Academy, and The Catamount School in spring 2019. Due to the school closures associated with the COVID-19 pandemic, the Evaluation Team did not collect student survey data in spring 2020.</w:t>
      </w:r>
    </w:p>
    <w:p w14:paraId="7828E257" w14:textId="77777777" w:rsidR="004E0AB8" w:rsidRDefault="004E0AB8" w:rsidP="004E0AB8">
      <w:pPr>
        <w:spacing w:after="0" w:line="240" w:lineRule="auto"/>
        <w:jc w:val="both"/>
        <w:rPr>
          <w:rFonts w:cstheme="minorHAnsi"/>
        </w:rPr>
      </w:pPr>
    </w:p>
    <w:p w14:paraId="13A31753" w14:textId="521431E2" w:rsidR="004E0AB8" w:rsidRDefault="004E0AB8" w:rsidP="004E0AB8">
      <w:pPr>
        <w:spacing w:after="0" w:line="240" w:lineRule="auto"/>
        <w:jc w:val="both"/>
        <w:rPr>
          <w:rFonts w:cstheme="minorHAnsi"/>
        </w:rPr>
      </w:pPr>
      <w:r w:rsidRPr="000916FD">
        <w:rPr>
          <w:rFonts w:cstheme="minorHAnsi"/>
        </w:rPr>
        <w:t>Second, the Evaluation Team has contracted with Tripod Education Partners to administer a survey to parents of laboratory school students. This survey focuses on parents’</w:t>
      </w:r>
      <w:r>
        <w:rPr>
          <w:rFonts w:cstheme="minorHAnsi"/>
        </w:rPr>
        <w:t xml:space="preserve"> satisfaction with the laboratory school, their perceptions of the laboratory school application process and set up, and their perceptions of school climate, services, and safety. </w:t>
      </w:r>
      <w:r w:rsidRPr="000916FD">
        <w:rPr>
          <w:rFonts w:cstheme="minorHAnsi"/>
        </w:rPr>
        <w:t xml:space="preserve">The Evaluation Team administered this survey in </w:t>
      </w:r>
      <w:r>
        <w:rPr>
          <w:rFonts w:cstheme="minorHAnsi"/>
        </w:rPr>
        <w:t xml:space="preserve">spring 2018 to the parents/families of students attending the ECU Community School and The Catamount School. In spring 2019, the Evaluation Team administered this survey to the parents/families of students attending the </w:t>
      </w:r>
      <w:r>
        <w:rPr>
          <w:rFonts w:cstheme="minorHAnsi"/>
        </w:rPr>
        <w:lastRenderedPageBreak/>
        <w:t>Appalachian Academy at Middle Fork, the ECU Community School, the Moss Street Partnership School, the D.C. Virgo Preparatory Academy, and The Catamount School. Due to the school closures associated with the COVID-19 pandemic, the Evaluation Team did not collect student survey data in spring 2020.</w:t>
      </w:r>
    </w:p>
    <w:p w14:paraId="2D5AD750" w14:textId="77777777" w:rsidR="004E0AB8" w:rsidRDefault="004E0AB8" w:rsidP="004E0AB8">
      <w:pPr>
        <w:spacing w:after="0" w:line="240" w:lineRule="auto"/>
        <w:jc w:val="both"/>
        <w:rPr>
          <w:rFonts w:cstheme="minorHAnsi"/>
        </w:rPr>
      </w:pPr>
    </w:p>
    <w:p w14:paraId="189B233E" w14:textId="77777777" w:rsidR="004E0AB8" w:rsidRPr="000916FD" w:rsidRDefault="004E0AB8" w:rsidP="004E0AB8">
      <w:pPr>
        <w:spacing w:after="0" w:line="240" w:lineRule="auto"/>
        <w:jc w:val="both"/>
        <w:rPr>
          <w:rFonts w:cstheme="minorHAnsi"/>
        </w:rPr>
      </w:pPr>
      <w:r w:rsidRPr="000916FD">
        <w:rPr>
          <w:rFonts w:cstheme="minorHAnsi"/>
        </w:rPr>
        <w:t xml:space="preserve">Finally, EPIC will continue to partner with NCDPI and the UNC System to administer two statewide surveys focused on the perceptions and practices of beginning teachers. In the spring of each school year, EPIC sends the </w:t>
      </w:r>
      <w:r w:rsidRPr="000916FD">
        <w:rPr>
          <w:rFonts w:cstheme="minorHAnsi"/>
          <w:i/>
        </w:rPr>
        <w:t>Recent Graduate Survey</w:t>
      </w:r>
      <w:r w:rsidRPr="000916FD">
        <w:rPr>
          <w:rFonts w:cstheme="minorHAnsi"/>
        </w:rPr>
        <w:t xml:space="preserve"> to all first-year teachers in North Carolina public schools. This survey asks beginning teachers to reflect on the quality of their preparation and their opportunities to learn key teaching practices. At the same time, EPIC also sends the </w:t>
      </w:r>
      <w:r w:rsidRPr="000916FD">
        <w:rPr>
          <w:rFonts w:cstheme="minorHAnsi"/>
          <w:i/>
        </w:rPr>
        <w:t xml:space="preserve">Employer Survey </w:t>
      </w:r>
      <w:r w:rsidRPr="000916FD">
        <w:rPr>
          <w:rFonts w:cstheme="minorHAnsi"/>
        </w:rPr>
        <w:t xml:space="preserve">to all principals with a first-year teacher at their school. This survey asks the school principal to rate the performance of the first-year teacher. With data from these surveys, the Evaluation Team will assess whether first-year teachers who had significant learning experiences in a laboratory school perceive their preparation to be of a higher quality and whether their school principals rate them as more effective. The Evaluation Team will incorporate these data into evaluation reports once enough pre-service candidates with laboratory school experiences are in the state’s teaching workforce. </w:t>
      </w:r>
    </w:p>
    <w:p w14:paraId="170AC185" w14:textId="77777777" w:rsidR="004E0AB8" w:rsidRPr="004A3BEE" w:rsidRDefault="004E0AB8" w:rsidP="00167208">
      <w:pPr>
        <w:spacing w:after="0" w:line="240" w:lineRule="auto"/>
        <w:jc w:val="both"/>
        <w:rPr>
          <w:rFonts w:cstheme="minorHAnsi"/>
        </w:rPr>
      </w:pPr>
    </w:p>
    <w:p w14:paraId="4DC5739C" w14:textId="77777777" w:rsidR="00167208" w:rsidRPr="000916FD" w:rsidRDefault="00167208" w:rsidP="00167208">
      <w:pPr>
        <w:pStyle w:val="Heading2"/>
        <w:spacing w:before="0" w:after="0" w:line="240" w:lineRule="auto"/>
        <w:rPr>
          <w:rFonts w:cstheme="minorHAnsi"/>
          <w:sz w:val="22"/>
          <w:szCs w:val="22"/>
        </w:rPr>
      </w:pPr>
      <w:r w:rsidRPr="000916FD">
        <w:rPr>
          <w:rFonts w:cstheme="minorHAnsi"/>
          <w:sz w:val="22"/>
          <w:szCs w:val="22"/>
        </w:rPr>
        <w:t>Administrative Data from Colleges of Education</w:t>
      </w:r>
    </w:p>
    <w:p w14:paraId="2AF10303" w14:textId="77777777" w:rsidR="00167208" w:rsidRPr="000916FD" w:rsidRDefault="00167208" w:rsidP="00167208">
      <w:pPr>
        <w:spacing w:after="0" w:line="240" w:lineRule="auto"/>
        <w:jc w:val="both"/>
        <w:rPr>
          <w:rFonts w:cstheme="minorHAnsi"/>
        </w:rPr>
      </w:pPr>
    </w:p>
    <w:p w14:paraId="4FDCEF11" w14:textId="089C37B3" w:rsidR="00D85DD6" w:rsidRDefault="00167208" w:rsidP="00167208">
      <w:pPr>
        <w:spacing w:after="0" w:line="240" w:lineRule="auto"/>
        <w:jc w:val="both"/>
        <w:rPr>
          <w:rFonts w:cstheme="minorHAnsi"/>
        </w:rPr>
      </w:pPr>
      <w:r w:rsidRPr="000916FD">
        <w:rPr>
          <w:rFonts w:cstheme="minorHAnsi"/>
        </w:rPr>
        <w:t>To examine outcomes for pre-service teachers and school leaders who obtained clinical experience in laboratory schools, the Evaluation Team will use administrative data on pre-service candidates provided by UNC System COE</w:t>
      </w:r>
      <w:r w:rsidR="00F75407">
        <w:rPr>
          <w:rFonts w:cstheme="minorHAnsi"/>
        </w:rPr>
        <w:t>s</w:t>
      </w:r>
      <w:r w:rsidRPr="000916FD">
        <w:rPr>
          <w:rFonts w:cstheme="minorHAnsi"/>
        </w:rPr>
        <w:t xml:space="preserve">. These candidate data will include demographics, measures of academic ability (e.g. grade point averages, SAT/ACT scores), licensure areas and licensure exam scores, time to graduation, </w:t>
      </w:r>
      <w:proofErr w:type="spellStart"/>
      <w:r w:rsidRPr="000916FD">
        <w:rPr>
          <w:rFonts w:cstheme="minorHAnsi"/>
        </w:rPr>
        <w:t>edTPA</w:t>
      </w:r>
      <w:proofErr w:type="spellEnd"/>
      <w:r w:rsidRPr="000916FD">
        <w:rPr>
          <w:rFonts w:cstheme="minorHAnsi"/>
        </w:rPr>
        <w:t xml:space="preserve"> scores, and indicators for having</w:t>
      </w:r>
      <w:r w:rsidR="001226EC">
        <w:rPr>
          <w:rFonts w:cstheme="minorHAnsi"/>
        </w:rPr>
        <w:t xml:space="preserve"> a clinical experience in a laboratory school. </w:t>
      </w:r>
      <w:r w:rsidRPr="000916FD">
        <w:rPr>
          <w:rFonts w:cstheme="minorHAnsi"/>
        </w:rPr>
        <w:t xml:space="preserve">With these data the Evaluation Team will examine the characteristics of candidates with significant </w:t>
      </w:r>
      <w:r w:rsidR="001226EC">
        <w:rPr>
          <w:rFonts w:cstheme="minorHAnsi"/>
        </w:rPr>
        <w:t xml:space="preserve">clinical </w:t>
      </w:r>
      <w:r w:rsidRPr="000916FD">
        <w:rPr>
          <w:rFonts w:cstheme="minorHAnsi"/>
        </w:rPr>
        <w:t>experiences in laboratory schools (compared to peers with more traditional preparation experiences) and link administrative data from COE and NCDPI to track these candidates into the state’s public schools. The Evaluation Team will begin to incorporate these administrative data from COE into subsequent reports</w:t>
      </w:r>
      <w:r w:rsidR="00D85DD6">
        <w:rPr>
          <w:rFonts w:cstheme="minorHAnsi"/>
        </w:rPr>
        <w:t xml:space="preserve"> once there are enough </w:t>
      </w:r>
      <w:r w:rsidR="003D2FB7">
        <w:rPr>
          <w:rFonts w:cstheme="minorHAnsi"/>
        </w:rPr>
        <w:t>pre-service</w:t>
      </w:r>
      <w:r w:rsidR="00D85DD6">
        <w:rPr>
          <w:rFonts w:cstheme="minorHAnsi"/>
        </w:rPr>
        <w:t xml:space="preserve"> candidates who had </w:t>
      </w:r>
      <w:r w:rsidR="00911E78">
        <w:rPr>
          <w:rFonts w:cstheme="minorHAnsi"/>
        </w:rPr>
        <w:t xml:space="preserve">significant </w:t>
      </w:r>
      <w:r w:rsidR="00D85DD6">
        <w:rPr>
          <w:rFonts w:cstheme="minorHAnsi"/>
        </w:rPr>
        <w:t>clinical experiences in laboratory schools.</w:t>
      </w:r>
    </w:p>
    <w:p w14:paraId="5E6E7530" w14:textId="77777777" w:rsidR="00D85DD6" w:rsidRDefault="00D85DD6" w:rsidP="00167208">
      <w:pPr>
        <w:spacing w:after="0" w:line="240" w:lineRule="auto"/>
        <w:jc w:val="both"/>
        <w:rPr>
          <w:rFonts w:cstheme="minorHAnsi"/>
        </w:rPr>
      </w:pPr>
    </w:p>
    <w:p w14:paraId="4869B98B" w14:textId="4248ECDF" w:rsidR="00167208" w:rsidRDefault="00167208" w:rsidP="00D85DD6">
      <w:pPr>
        <w:spacing w:after="0" w:line="240" w:lineRule="auto"/>
        <w:jc w:val="both"/>
      </w:pPr>
      <w:r w:rsidRPr="000916FD">
        <w:rPr>
          <w:rFonts w:cstheme="minorHAnsi"/>
        </w:rPr>
        <w:t xml:space="preserve"> </w:t>
      </w:r>
    </w:p>
    <w:p w14:paraId="456A11C2" w14:textId="77777777" w:rsidR="004009F5" w:rsidRDefault="004009F5" w:rsidP="00167208">
      <w:pPr>
        <w:pStyle w:val="Heading1"/>
        <w:spacing w:before="0" w:after="0" w:line="240" w:lineRule="auto"/>
        <w:rPr>
          <w:rFonts w:asciiTheme="minorHAnsi" w:hAnsiTheme="minorHAnsi" w:cstheme="minorHAnsi"/>
          <w:color w:val="auto"/>
          <w:szCs w:val="22"/>
        </w:rPr>
        <w:sectPr w:rsidR="004009F5" w:rsidSect="00380E90">
          <w:pgSz w:w="12240" w:h="15840"/>
          <w:pgMar w:top="1440" w:right="1440" w:bottom="1440" w:left="1440" w:header="720" w:footer="720" w:gutter="0"/>
          <w:cols w:space="720"/>
          <w:docGrid w:linePitch="360"/>
        </w:sectPr>
      </w:pPr>
    </w:p>
    <w:p w14:paraId="1AFFDF4B" w14:textId="7D2BF4DD" w:rsidR="00167208" w:rsidRPr="009A2964" w:rsidRDefault="004009F5" w:rsidP="00167208">
      <w:pPr>
        <w:pStyle w:val="Heading1"/>
        <w:spacing w:before="0" w:after="0" w:line="240" w:lineRule="auto"/>
        <w:rPr>
          <w:rFonts w:asciiTheme="minorHAnsi" w:hAnsiTheme="minorHAnsi" w:cstheme="minorHAnsi"/>
          <w:color w:val="auto"/>
          <w:szCs w:val="22"/>
        </w:rPr>
      </w:pPr>
      <w:r>
        <w:rPr>
          <w:rFonts w:asciiTheme="minorHAnsi" w:hAnsiTheme="minorHAnsi" w:cstheme="minorHAnsi"/>
          <w:color w:val="auto"/>
          <w:szCs w:val="22"/>
        </w:rPr>
        <w:lastRenderedPageBreak/>
        <w:t xml:space="preserve">Appendix </w:t>
      </w:r>
      <w:r w:rsidR="00482616">
        <w:rPr>
          <w:rFonts w:asciiTheme="minorHAnsi" w:hAnsiTheme="minorHAnsi" w:cstheme="minorHAnsi"/>
          <w:color w:val="auto"/>
          <w:szCs w:val="22"/>
        </w:rPr>
        <w:t>A3</w:t>
      </w:r>
      <w:r>
        <w:rPr>
          <w:rFonts w:asciiTheme="minorHAnsi" w:hAnsiTheme="minorHAnsi" w:cstheme="minorHAnsi"/>
          <w:color w:val="auto"/>
          <w:szCs w:val="22"/>
        </w:rPr>
        <w:t xml:space="preserve">: </w:t>
      </w:r>
      <w:r w:rsidR="00167208" w:rsidRPr="009A2964">
        <w:rPr>
          <w:rFonts w:asciiTheme="minorHAnsi" w:hAnsiTheme="minorHAnsi" w:cstheme="minorHAnsi"/>
          <w:color w:val="auto"/>
          <w:szCs w:val="22"/>
        </w:rPr>
        <w:t>Analysis Methods</w:t>
      </w:r>
    </w:p>
    <w:p w14:paraId="6525F2E5" w14:textId="77777777" w:rsidR="00167208" w:rsidRPr="000916FD" w:rsidRDefault="00167208" w:rsidP="00167208">
      <w:pPr>
        <w:pStyle w:val="Heading2"/>
        <w:spacing w:before="0" w:after="0" w:line="240" w:lineRule="auto"/>
        <w:rPr>
          <w:rFonts w:cstheme="minorHAnsi"/>
          <w:sz w:val="22"/>
          <w:szCs w:val="22"/>
        </w:rPr>
      </w:pPr>
    </w:p>
    <w:p w14:paraId="7BE4334C" w14:textId="77777777" w:rsidR="00167208" w:rsidRPr="000916FD" w:rsidRDefault="00167208" w:rsidP="00167208">
      <w:pPr>
        <w:pStyle w:val="Heading2"/>
        <w:spacing w:before="0" w:after="0" w:line="240" w:lineRule="auto"/>
        <w:rPr>
          <w:rFonts w:cstheme="minorHAnsi"/>
          <w:sz w:val="22"/>
          <w:szCs w:val="22"/>
        </w:rPr>
      </w:pPr>
      <w:r w:rsidRPr="000916FD">
        <w:rPr>
          <w:rFonts w:cstheme="minorHAnsi"/>
          <w:sz w:val="22"/>
          <w:szCs w:val="22"/>
        </w:rPr>
        <w:t>Qualitative data analyses</w:t>
      </w:r>
    </w:p>
    <w:p w14:paraId="7C90F154" w14:textId="77777777" w:rsidR="00167208" w:rsidRPr="000916FD" w:rsidRDefault="00167208" w:rsidP="00167208">
      <w:pPr>
        <w:spacing w:after="0" w:line="240" w:lineRule="auto"/>
        <w:jc w:val="both"/>
        <w:rPr>
          <w:rFonts w:cstheme="minorHAnsi"/>
        </w:rPr>
      </w:pPr>
    </w:p>
    <w:p w14:paraId="7CF577DC" w14:textId="77777777" w:rsidR="004009F5" w:rsidRPr="000916FD" w:rsidRDefault="004009F5" w:rsidP="004009F5">
      <w:pPr>
        <w:spacing w:after="0" w:line="240" w:lineRule="auto"/>
        <w:jc w:val="both"/>
        <w:rPr>
          <w:rFonts w:cstheme="minorHAnsi"/>
        </w:rPr>
      </w:pPr>
      <w:r w:rsidRPr="000916FD">
        <w:rPr>
          <w:rFonts w:cstheme="minorHAnsi"/>
        </w:rPr>
        <w:t>To assess the UNC System laboratory schools, the Evaluation Team analyze</w:t>
      </w:r>
      <w:r>
        <w:rPr>
          <w:rFonts w:cstheme="minorHAnsi"/>
        </w:rPr>
        <w:t>d</w:t>
      </w:r>
      <w:r w:rsidRPr="000916FD">
        <w:rPr>
          <w:rFonts w:cstheme="minorHAnsi"/>
        </w:rPr>
        <w:t xml:space="preserve"> two types of qualitative data—interview transcripts and laboratory school responses to annual status reports. </w:t>
      </w:r>
    </w:p>
    <w:p w14:paraId="70042E2D" w14:textId="77777777" w:rsidR="004009F5" w:rsidRPr="000916FD" w:rsidRDefault="004009F5" w:rsidP="004009F5">
      <w:pPr>
        <w:spacing w:after="0" w:line="240" w:lineRule="auto"/>
        <w:jc w:val="both"/>
        <w:rPr>
          <w:rFonts w:cstheme="minorHAnsi"/>
        </w:rPr>
      </w:pPr>
    </w:p>
    <w:p w14:paraId="6B6C6CE8" w14:textId="3D248E2A" w:rsidR="004009F5" w:rsidRPr="000916FD" w:rsidRDefault="004009F5" w:rsidP="004009F5">
      <w:pPr>
        <w:spacing w:after="0" w:line="240" w:lineRule="auto"/>
        <w:jc w:val="both"/>
        <w:rPr>
          <w:rFonts w:cstheme="minorHAnsi"/>
        </w:rPr>
      </w:pPr>
      <w:r w:rsidRPr="000916FD">
        <w:rPr>
          <w:rFonts w:cstheme="minorHAnsi"/>
        </w:rPr>
        <w:t xml:space="preserve">The Evaluation Team designed interview protocols for use with various stakeholders involved in the design and implementation of laboratory schools (e.g., UNC System officials, College of Education faculty, laboratory </w:t>
      </w:r>
      <w:proofErr w:type="gramStart"/>
      <w:r w:rsidRPr="000916FD">
        <w:rPr>
          <w:rFonts w:cstheme="minorHAnsi"/>
        </w:rPr>
        <w:t>school teachers</w:t>
      </w:r>
      <w:proofErr w:type="gramEnd"/>
      <w:r w:rsidRPr="000916FD">
        <w:rPr>
          <w:rFonts w:cstheme="minorHAnsi"/>
        </w:rPr>
        <w:t xml:space="preserve">). These interview protocols are organized around the seven laboratory school evaluation questions. </w:t>
      </w:r>
    </w:p>
    <w:p w14:paraId="399AE429" w14:textId="77777777" w:rsidR="004009F5" w:rsidRPr="000916FD" w:rsidRDefault="004009F5" w:rsidP="004009F5">
      <w:pPr>
        <w:spacing w:after="0" w:line="240" w:lineRule="auto"/>
        <w:jc w:val="both"/>
        <w:rPr>
          <w:rFonts w:cstheme="minorHAnsi"/>
        </w:rPr>
      </w:pPr>
    </w:p>
    <w:p w14:paraId="062FD7AF" w14:textId="77777777" w:rsidR="004009F5" w:rsidRPr="000916FD" w:rsidRDefault="004009F5" w:rsidP="004009F5">
      <w:pPr>
        <w:spacing w:after="0" w:line="240" w:lineRule="auto"/>
        <w:jc w:val="both"/>
        <w:rPr>
          <w:rFonts w:cstheme="minorHAnsi"/>
        </w:rPr>
      </w:pPr>
      <w:r w:rsidRPr="000916FD">
        <w:rPr>
          <w:rFonts w:cstheme="minorHAnsi"/>
        </w:rPr>
        <w:t>To analyze the interview responses, the Evaluation Team conducted an initial review of the transcripts to identify key concepts and themes (e.g., school governance, partnerships, educator preparation) related to each of the evaluation questions. Using these key concepts and themes, the Evaluation Team developed a categorization scheme, aligned with the evaluation questions, to organize specific portions of the transcribed interview text. With this scheme the Evaluation Team reviewed all of the interview transcripts and coded responses based on the pre-identified concepts and themes. A final review and synthesis of the interview responses, based on the developed coding scheme, revealed the critical observations and findings that are included in this report.</w:t>
      </w:r>
    </w:p>
    <w:p w14:paraId="7471FF6E" w14:textId="77777777" w:rsidR="004009F5" w:rsidRDefault="004009F5" w:rsidP="004009F5">
      <w:pPr>
        <w:pStyle w:val="Heading2"/>
        <w:spacing w:before="0" w:after="0" w:line="240" w:lineRule="auto"/>
        <w:rPr>
          <w:rFonts w:cstheme="minorHAnsi"/>
          <w:sz w:val="22"/>
          <w:szCs w:val="22"/>
        </w:rPr>
      </w:pPr>
    </w:p>
    <w:p w14:paraId="6BA598F7" w14:textId="5E354853" w:rsidR="00E116B8" w:rsidRDefault="004009F5" w:rsidP="007A6D25">
      <w:pPr>
        <w:spacing w:after="0" w:line="240" w:lineRule="auto"/>
        <w:jc w:val="both"/>
        <w:rPr>
          <w:rFonts w:cstheme="minorHAnsi"/>
        </w:rPr>
      </w:pPr>
      <w:r>
        <w:t xml:space="preserve">The Evaluation Team designed a report template to be submitted annually by schools in their second and subsequent years of operation excluding the last year of the evaluation. </w:t>
      </w:r>
      <w:r>
        <w:rPr>
          <w:rFonts w:cstheme="minorHAnsi"/>
        </w:rPr>
        <w:t xml:space="preserve">The “subsequent operating year” status report template is </w:t>
      </w:r>
      <w:r w:rsidRPr="000916FD">
        <w:rPr>
          <w:rFonts w:cstheme="minorHAnsi"/>
        </w:rPr>
        <w:t>organized around the seven laboratory school evaluation questions.</w:t>
      </w:r>
      <w:r>
        <w:rPr>
          <w:rFonts w:cstheme="minorHAnsi"/>
        </w:rPr>
        <w:t xml:space="preserve"> </w:t>
      </w:r>
    </w:p>
    <w:p w14:paraId="00740DB6" w14:textId="77777777" w:rsidR="007A6D25" w:rsidRDefault="007A6D25" w:rsidP="007A6D25">
      <w:pPr>
        <w:spacing w:after="0" w:line="240" w:lineRule="auto"/>
        <w:jc w:val="both"/>
        <w:rPr>
          <w:rFonts w:cstheme="minorHAnsi"/>
        </w:rPr>
      </w:pPr>
    </w:p>
    <w:p w14:paraId="2C5FE6BB" w14:textId="77777777" w:rsidR="004009F5" w:rsidRPr="000916FD" w:rsidRDefault="004009F5" w:rsidP="004009F5">
      <w:pPr>
        <w:pStyle w:val="Heading2"/>
        <w:spacing w:before="0" w:after="0" w:line="240" w:lineRule="auto"/>
        <w:rPr>
          <w:rFonts w:cstheme="minorHAnsi"/>
          <w:sz w:val="22"/>
          <w:szCs w:val="22"/>
        </w:rPr>
      </w:pPr>
      <w:r w:rsidRPr="000916FD">
        <w:rPr>
          <w:rFonts w:cstheme="minorHAnsi"/>
          <w:sz w:val="22"/>
          <w:szCs w:val="22"/>
        </w:rPr>
        <w:t>Quantitative data analyses</w:t>
      </w:r>
    </w:p>
    <w:p w14:paraId="76236467" w14:textId="77777777" w:rsidR="004009F5" w:rsidRPr="000916FD" w:rsidRDefault="004009F5" w:rsidP="004009F5">
      <w:pPr>
        <w:spacing w:after="0" w:line="240" w:lineRule="auto"/>
        <w:jc w:val="both"/>
        <w:rPr>
          <w:rFonts w:cstheme="minorHAnsi"/>
        </w:rPr>
      </w:pPr>
    </w:p>
    <w:p w14:paraId="46CFC6C4" w14:textId="32B0E9BE" w:rsidR="004009F5" w:rsidRPr="000916FD" w:rsidRDefault="004009F5" w:rsidP="004009F5">
      <w:pPr>
        <w:spacing w:after="0" w:line="240" w:lineRule="auto"/>
        <w:jc w:val="both"/>
        <w:rPr>
          <w:rFonts w:cstheme="minorHAnsi"/>
        </w:rPr>
      </w:pPr>
      <w:r w:rsidRPr="000916FD">
        <w:rPr>
          <w:rFonts w:cstheme="minorHAnsi"/>
        </w:rPr>
        <w:t xml:space="preserve">The evaluation of the UNC System laboratory schools will use </w:t>
      </w:r>
      <w:r w:rsidR="00237A48">
        <w:rPr>
          <w:rFonts w:cstheme="minorHAnsi"/>
        </w:rPr>
        <w:t>quantitative</w:t>
      </w:r>
      <w:r w:rsidRPr="000916FD">
        <w:rPr>
          <w:rFonts w:cstheme="minorHAnsi"/>
        </w:rPr>
        <w:t xml:space="preserve"> data from a host of sources:  NCDPI, UNC System COE</w:t>
      </w:r>
      <w:r w:rsidR="00237A48">
        <w:rPr>
          <w:rFonts w:cstheme="minorHAnsi"/>
        </w:rPr>
        <w:t>s</w:t>
      </w:r>
      <w:r w:rsidRPr="000916FD">
        <w:rPr>
          <w:rFonts w:cstheme="minorHAnsi"/>
        </w:rPr>
        <w:t>, and survey responses. With these data the Evaluation Team will assess whether laboratory schools improve students’ academic performance, engagement with school, and social-emotional outcomes; whether laboratory schools are successfully marketed and managed; and whether pre-service experiences in a laboratory school (e.g., student teaching) influence early-career educators. Below, the Evaluation Team describes several guiding principles for how it will analyze and report quantitative data on laboratory schools. These principles are designed to help the Evaluation Team perform rigorous analyses and report data in meaningful ways.</w:t>
      </w:r>
    </w:p>
    <w:p w14:paraId="2C093714" w14:textId="77777777" w:rsidR="004009F5" w:rsidRPr="000916FD" w:rsidRDefault="004009F5" w:rsidP="004009F5">
      <w:pPr>
        <w:spacing w:after="0" w:line="240" w:lineRule="auto"/>
        <w:jc w:val="both"/>
        <w:rPr>
          <w:rFonts w:cstheme="minorHAnsi"/>
        </w:rPr>
      </w:pPr>
    </w:p>
    <w:p w14:paraId="7892C6FD" w14:textId="3271957C" w:rsidR="004009F5" w:rsidRDefault="004009F5" w:rsidP="004009F5">
      <w:pPr>
        <w:spacing w:after="0" w:line="240" w:lineRule="auto"/>
        <w:jc w:val="both"/>
        <w:rPr>
          <w:rFonts w:cstheme="minorHAnsi"/>
        </w:rPr>
      </w:pPr>
      <w:r w:rsidRPr="000916FD">
        <w:rPr>
          <w:rFonts w:cstheme="minorHAnsi"/>
        </w:rPr>
        <w:t xml:space="preserve">First, the Evaluation Team will start the analysis process by reporting student and school outcomes without making any statistical adjustments. For example, the Evaluation Team may report the average End-of-Grade mathematics scores of laboratory school students and other students in the host school district. While there are limitations to this approach and its ability to isolate the impacts of laboratory schools, it does have the advantage of presenting information in a transparent and understandable manner. </w:t>
      </w:r>
    </w:p>
    <w:p w14:paraId="4A8074B0" w14:textId="77777777" w:rsidR="003B2B4B" w:rsidRPr="000916FD" w:rsidRDefault="003B2B4B" w:rsidP="004009F5">
      <w:pPr>
        <w:spacing w:after="0" w:line="240" w:lineRule="auto"/>
        <w:jc w:val="both"/>
        <w:rPr>
          <w:rFonts w:cstheme="minorHAnsi"/>
        </w:rPr>
      </w:pPr>
    </w:p>
    <w:p w14:paraId="4CB7A248" w14:textId="77777777" w:rsidR="004009F5" w:rsidRPr="000916FD" w:rsidRDefault="004009F5" w:rsidP="004009F5">
      <w:pPr>
        <w:spacing w:after="0" w:line="240" w:lineRule="auto"/>
        <w:jc w:val="both"/>
        <w:rPr>
          <w:rFonts w:cstheme="minorHAnsi"/>
        </w:rPr>
      </w:pPr>
      <w:r w:rsidRPr="000916FD">
        <w:rPr>
          <w:rFonts w:cstheme="minorHAnsi"/>
        </w:rPr>
        <w:t xml:space="preserve">Second, when analyzing administrative data for laboratory schools, the Evaluation Team will present pooled results across all laboratory schools and separate results for each laboratory school. Pooling the data will provide a larger sample and return a summative measure of laboratory school effects. </w:t>
      </w:r>
      <w:proofErr w:type="gramStart"/>
      <w:r w:rsidRPr="000916FD">
        <w:rPr>
          <w:rFonts w:cstheme="minorHAnsi"/>
        </w:rPr>
        <w:t>Separate, school-by-school analyses,</w:t>
      </w:r>
      <w:proofErr w:type="gramEnd"/>
      <w:r w:rsidRPr="000916FD">
        <w:rPr>
          <w:rFonts w:cstheme="minorHAnsi"/>
        </w:rPr>
        <w:t xml:space="preserve"> acknowledge the potential for variation in laboratory school impacts due to </w:t>
      </w:r>
      <w:r w:rsidRPr="000916FD">
        <w:rPr>
          <w:rFonts w:cstheme="minorHAnsi"/>
        </w:rPr>
        <w:lastRenderedPageBreak/>
        <w:t>differences in set up, student demographics, partnerships, and goals across the schools. As a complement to these approaches, the Evaluation Team will also report pooled and school-specific results by the number of years the laboratory school has been open.</w:t>
      </w:r>
    </w:p>
    <w:p w14:paraId="3BD98484" w14:textId="77777777" w:rsidR="004009F5" w:rsidRPr="000916FD" w:rsidRDefault="004009F5" w:rsidP="004009F5">
      <w:pPr>
        <w:spacing w:after="0" w:line="240" w:lineRule="auto"/>
        <w:jc w:val="both"/>
        <w:rPr>
          <w:rFonts w:cstheme="minorHAnsi"/>
        </w:rPr>
      </w:pPr>
    </w:p>
    <w:p w14:paraId="22BD860F" w14:textId="77777777" w:rsidR="004009F5" w:rsidRPr="000916FD" w:rsidRDefault="004009F5" w:rsidP="004009F5">
      <w:pPr>
        <w:spacing w:after="0" w:line="240" w:lineRule="auto"/>
        <w:jc w:val="both"/>
        <w:rPr>
          <w:rFonts w:cstheme="minorHAnsi"/>
        </w:rPr>
      </w:pPr>
      <w:r w:rsidRPr="000916FD">
        <w:rPr>
          <w:rFonts w:cstheme="minorHAnsi"/>
        </w:rPr>
        <w:t>Third, given the unique sample of students attending laboratory schools—those who were previously low-performing and/or those coming from a low-performing school—reporting of raw, unadjusted student outcomes will not isolate the impact of laboratory schools. As such, the Evaluation Team will also use administrative data from NCDPI to identify comparison samples of students and schools that more closely resemble the laboratory school population. It is likely that the Evaluation Team will use propensity score matching to create these comparison samples; other statistical approaches may also be feasible and will be examined by the Evaluation Team.</w:t>
      </w:r>
      <w:r w:rsidRPr="000916FD">
        <w:rPr>
          <w:rStyle w:val="FootnoteReference"/>
          <w:rFonts w:cstheme="minorHAnsi"/>
        </w:rPr>
        <w:footnoteReference w:id="65"/>
      </w:r>
      <w:r w:rsidRPr="000916FD">
        <w:rPr>
          <w:rFonts w:cstheme="minorHAnsi"/>
        </w:rPr>
        <w:t xml:space="preserve"> Findings from these matched analyses will be the preferred results.</w:t>
      </w:r>
    </w:p>
    <w:p w14:paraId="5BCCB993" w14:textId="77777777" w:rsidR="004009F5" w:rsidRPr="000916FD" w:rsidRDefault="004009F5" w:rsidP="004009F5">
      <w:pPr>
        <w:spacing w:after="0" w:line="240" w:lineRule="auto"/>
        <w:jc w:val="both"/>
        <w:rPr>
          <w:rFonts w:cstheme="minorHAnsi"/>
        </w:rPr>
      </w:pPr>
    </w:p>
    <w:p w14:paraId="57F82B38" w14:textId="77777777" w:rsidR="004009F5" w:rsidRPr="000916FD" w:rsidRDefault="004009F5" w:rsidP="004009F5">
      <w:pPr>
        <w:spacing w:after="0" w:line="240" w:lineRule="auto"/>
        <w:jc w:val="both"/>
        <w:rPr>
          <w:rFonts w:cstheme="minorHAnsi"/>
        </w:rPr>
      </w:pPr>
      <w:r w:rsidRPr="000916FD">
        <w:rPr>
          <w:rFonts w:cstheme="minorHAnsi"/>
        </w:rPr>
        <w:t xml:space="preserve">Fourth, when examining the characteristics of pre-service candidates and tracking them into the public school workforce, the Evaluation Team will compare pre-service candidates who had significant learning experiences in laboratory schools (e.g., student teaching, principal intern) with pre-service candidates from the same university and licensure area that did not have laboratory school experiences. For example, comparing middle grades candidates who student taught at The Catamount School versus WCU middle grades candidates who student taught elsewhere. These analyses will not be causal but may suggest whether laboratory school experiences benefit early-career teachers. </w:t>
      </w:r>
    </w:p>
    <w:p w14:paraId="669EF5FB" w14:textId="77777777" w:rsidR="004009F5" w:rsidRPr="000916FD" w:rsidRDefault="004009F5" w:rsidP="004009F5">
      <w:pPr>
        <w:spacing w:after="0" w:line="240" w:lineRule="auto"/>
        <w:jc w:val="both"/>
        <w:rPr>
          <w:rFonts w:cstheme="minorHAnsi"/>
        </w:rPr>
      </w:pPr>
    </w:p>
    <w:p w14:paraId="7B4F9AF0" w14:textId="63714E1A" w:rsidR="004009F5" w:rsidRPr="000916FD" w:rsidRDefault="004009F5" w:rsidP="004009F5">
      <w:pPr>
        <w:spacing w:after="0" w:line="240" w:lineRule="auto"/>
        <w:jc w:val="both"/>
        <w:rPr>
          <w:rFonts w:cstheme="minorHAnsi"/>
        </w:rPr>
      </w:pPr>
      <w:r w:rsidRPr="000916FD">
        <w:rPr>
          <w:rFonts w:cstheme="minorHAnsi"/>
        </w:rPr>
        <w:t xml:space="preserve">Lastly, when analyzing administrative data from NCDPI, the Evaluation Team will estimate regression models that control for a rich set of individual and contextual characteristics. For example, when assessing student achievement, the Evaluation Team will use propensity score matching to identify an appropriate comparison sample and then control for individual student characteristics to </w:t>
      </w:r>
      <w:proofErr w:type="gramStart"/>
      <w:r w:rsidRPr="000916FD">
        <w:rPr>
          <w:rFonts w:cstheme="minorHAnsi"/>
        </w:rPr>
        <w:t>more rigorously isolate the impact of laboratory schools</w:t>
      </w:r>
      <w:proofErr w:type="gramEnd"/>
      <w:r w:rsidRPr="000916FD">
        <w:rPr>
          <w:rFonts w:cstheme="minorHAnsi"/>
        </w:rPr>
        <w:t xml:space="preserve"> on student performance. Likewise, when assessing outcomes for early career teachers who did versus did not have significant laboratory school experiences, the Evaluation Team will estimate a regression model controlling for teacher and school characteristics. </w:t>
      </w:r>
    </w:p>
    <w:p w14:paraId="3F1B2E8E" w14:textId="415BE1E2" w:rsidR="00167208" w:rsidRDefault="00167208" w:rsidP="00167208">
      <w:pPr>
        <w:rPr>
          <w:rFonts w:eastAsiaTheme="majorEastAsia" w:cstheme="minorHAnsi"/>
          <w:b/>
          <w:sz w:val="28"/>
          <w:szCs w:val="32"/>
        </w:rPr>
      </w:pPr>
      <w:r>
        <w:rPr>
          <w:rFonts w:cstheme="minorHAnsi"/>
        </w:rPr>
        <w:br w:type="page"/>
      </w:r>
    </w:p>
    <w:p w14:paraId="0256DA1F" w14:textId="414540FB" w:rsidR="00F76B29" w:rsidRPr="00DF20F3" w:rsidRDefault="6129E8DB" w:rsidP="6129E8DB">
      <w:pPr>
        <w:pStyle w:val="Heading1"/>
        <w:rPr>
          <w:rFonts w:asciiTheme="minorHAnsi" w:hAnsiTheme="minorHAnsi" w:cstheme="minorBidi"/>
          <w:color w:val="auto"/>
        </w:rPr>
      </w:pPr>
      <w:r w:rsidRPr="6129E8DB">
        <w:rPr>
          <w:rFonts w:asciiTheme="minorHAnsi" w:hAnsiTheme="minorHAnsi" w:cstheme="minorBidi"/>
          <w:color w:val="auto"/>
        </w:rPr>
        <w:lastRenderedPageBreak/>
        <w:t xml:space="preserve">Appendix </w:t>
      </w:r>
      <w:r w:rsidR="00482616">
        <w:rPr>
          <w:rFonts w:asciiTheme="minorHAnsi" w:hAnsiTheme="minorHAnsi" w:cstheme="minorBidi"/>
          <w:color w:val="auto"/>
        </w:rPr>
        <w:t>A4</w:t>
      </w:r>
      <w:r w:rsidRPr="6129E8DB">
        <w:rPr>
          <w:rFonts w:asciiTheme="minorHAnsi" w:hAnsiTheme="minorHAnsi" w:cstheme="minorBidi"/>
          <w:color w:val="auto"/>
        </w:rPr>
        <w:t>: Laboratory School Snapshots</w:t>
      </w:r>
      <w:bookmarkEnd w:id="12"/>
    </w:p>
    <w:p w14:paraId="699AABE5" w14:textId="26978422" w:rsidR="002D2C02" w:rsidRPr="002D2C02" w:rsidRDefault="002D2C02" w:rsidP="00237A48">
      <w:pPr>
        <w:spacing w:after="0" w:line="240" w:lineRule="auto"/>
        <w:jc w:val="both"/>
        <w:rPr>
          <w:rFonts w:ascii="Calibri" w:eastAsia="Calibri" w:hAnsi="Calibri" w:cs="Calibri"/>
        </w:rPr>
      </w:pPr>
      <w:r w:rsidRPr="002D2C02">
        <w:rPr>
          <w:rFonts w:ascii="Calibri" w:eastAsia="Calibri" w:hAnsi="Calibri" w:cs="Calibri"/>
        </w:rPr>
        <w:t xml:space="preserve">This section </w:t>
      </w:r>
      <w:r>
        <w:rPr>
          <w:rFonts w:ascii="Calibri" w:eastAsia="Calibri" w:hAnsi="Calibri" w:cs="Calibri"/>
        </w:rPr>
        <w:t>includes</w:t>
      </w:r>
      <w:r w:rsidRPr="002D2C02">
        <w:rPr>
          <w:rFonts w:ascii="Calibri" w:eastAsia="Calibri" w:hAnsi="Calibri" w:cs="Calibri"/>
        </w:rPr>
        <w:t xml:space="preserve"> brief overviews of the laboratory schools as they operated </w:t>
      </w:r>
      <w:r w:rsidR="004F5C9D">
        <w:rPr>
          <w:rFonts w:ascii="Calibri" w:eastAsia="Calibri" w:hAnsi="Calibri" w:cs="Calibri"/>
        </w:rPr>
        <w:t>from August 2019 to March 2020 prior to North Carolina schools closing due to the C</w:t>
      </w:r>
      <w:r w:rsidR="00297BF9">
        <w:rPr>
          <w:rFonts w:ascii="Calibri" w:eastAsia="Calibri" w:hAnsi="Calibri" w:cs="Calibri"/>
        </w:rPr>
        <w:t>OVID</w:t>
      </w:r>
      <w:r w:rsidR="004F5C9D">
        <w:rPr>
          <w:rFonts w:ascii="Calibri" w:eastAsia="Calibri" w:hAnsi="Calibri" w:cs="Calibri"/>
        </w:rPr>
        <w:t>-19 pandemic.</w:t>
      </w:r>
      <w:r w:rsidRPr="002D2C02">
        <w:rPr>
          <w:rFonts w:ascii="Calibri" w:eastAsia="Calibri" w:hAnsi="Calibri" w:cs="Calibri"/>
        </w:rPr>
        <w:t xml:space="preserve"> </w:t>
      </w:r>
    </w:p>
    <w:p w14:paraId="2D4A2F2C" w14:textId="77777777" w:rsidR="002D2C02" w:rsidRDefault="002D2C02" w:rsidP="009A7F42">
      <w:pPr>
        <w:spacing w:after="0" w:line="240" w:lineRule="auto"/>
        <w:rPr>
          <w:rFonts w:ascii="Calibri" w:eastAsia="Calibri" w:hAnsi="Calibri" w:cs="Calibri"/>
          <w:b/>
          <w:bCs/>
          <w:i/>
          <w:iCs/>
          <w:sz w:val="24"/>
          <w:szCs w:val="24"/>
        </w:rPr>
      </w:pPr>
    </w:p>
    <w:p w14:paraId="59EE25EC" w14:textId="19E10C1E" w:rsidR="009A7F42" w:rsidRDefault="009A7F42" w:rsidP="009A7F42">
      <w:pPr>
        <w:spacing w:after="0" w:line="240" w:lineRule="auto"/>
        <w:rPr>
          <w:rFonts w:ascii="Calibri" w:eastAsia="Calibri" w:hAnsi="Calibri" w:cs="Calibri"/>
          <w:b/>
          <w:bCs/>
          <w:i/>
          <w:iCs/>
          <w:sz w:val="24"/>
          <w:szCs w:val="24"/>
        </w:rPr>
      </w:pPr>
      <w:r w:rsidRPr="6129E8DB">
        <w:rPr>
          <w:rFonts w:ascii="Calibri" w:eastAsia="Calibri" w:hAnsi="Calibri" w:cs="Calibri"/>
          <w:b/>
          <w:bCs/>
          <w:i/>
          <w:iCs/>
          <w:sz w:val="24"/>
          <w:szCs w:val="24"/>
        </w:rPr>
        <w:t>Appalachian Academy at Middle Fork</w:t>
      </w:r>
    </w:p>
    <w:p w14:paraId="50ACA2C2" w14:textId="77777777" w:rsidR="00297154" w:rsidRDefault="00297154" w:rsidP="00603369">
      <w:pPr>
        <w:spacing w:after="0" w:line="240" w:lineRule="auto"/>
        <w:jc w:val="both"/>
        <w:rPr>
          <w:rFonts w:ascii="Calibri" w:eastAsia="Calibri" w:hAnsi="Calibri" w:cs="Calibri"/>
        </w:rPr>
      </w:pPr>
    </w:p>
    <w:p w14:paraId="7B641EE9" w14:textId="6DCC462A" w:rsidR="00342C96" w:rsidRPr="00603369" w:rsidRDefault="00342C96" w:rsidP="00603369">
      <w:pPr>
        <w:spacing w:after="0" w:line="240" w:lineRule="auto"/>
        <w:jc w:val="both"/>
      </w:pPr>
      <w:r>
        <w:rPr>
          <w:rFonts w:ascii="Calibri" w:eastAsia="Calibri" w:hAnsi="Calibri" w:cs="Calibri"/>
        </w:rPr>
        <w:t>Appalachian State’s laboratory school, the Appalachian Academy at Middle Fork, is an elementary school located on the campus of the former Middle Fork Elementary School in Walkertown, NC. The campus building is leased from Winston-Salem Forsyth County Schools (WSFCS) and houses grades K-5. The Academy at Middle Fork operates on the WSFCS school calendar.</w:t>
      </w:r>
    </w:p>
    <w:p w14:paraId="4B02D02C" w14:textId="77777777" w:rsidR="00342C96" w:rsidRDefault="00342C96" w:rsidP="00603369">
      <w:pPr>
        <w:spacing w:after="0" w:line="240" w:lineRule="auto"/>
        <w:jc w:val="both"/>
        <w:rPr>
          <w:rFonts w:ascii="Calibri" w:eastAsia="Calibri" w:hAnsi="Calibri" w:cs="Calibri"/>
        </w:rPr>
      </w:pPr>
    </w:p>
    <w:p w14:paraId="45F907D1" w14:textId="2433DD84" w:rsidR="00342C96" w:rsidRDefault="00342C96" w:rsidP="00603369">
      <w:pPr>
        <w:spacing w:after="0" w:line="240" w:lineRule="auto"/>
        <w:jc w:val="both"/>
      </w:pPr>
      <w:r>
        <w:t xml:space="preserve">In its second year, the Academy at Middle Fork staff included a principal, a director of curriculum and instruction, a director of student affairs and emergency management (formerly the behavior support </w:t>
      </w:r>
      <w:r>
        <w:t xml:space="preserve">coach), a data manager, eighteen classroom teachers, seven teacher assistants, two ESL teachers, </w:t>
      </w:r>
      <w:r w:rsidR="00EA5DC4">
        <w:t xml:space="preserve">three </w:t>
      </w:r>
      <w:r>
        <w:t xml:space="preserve">EC teachers, three EC teacher assistants, an administrative support and school finance specialist, a school nurse, and a social worker. In addition, </w:t>
      </w:r>
      <w:r w:rsidR="00BB6FC4">
        <w:t>o</w:t>
      </w:r>
      <w:r>
        <w:t xml:space="preserve">ne faculty </w:t>
      </w:r>
      <w:r>
        <w:t xml:space="preserve">member spent two days per </w:t>
      </w:r>
      <w:r>
        <w:t xml:space="preserve">week </w:t>
      </w:r>
      <w:r w:rsidR="00BB6FC4">
        <w:t xml:space="preserve">“in-residence” </w:t>
      </w:r>
      <w:r>
        <w:t xml:space="preserve">at </w:t>
      </w:r>
      <w:r>
        <w:t>the Academy</w:t>
      </w:r>
      <w:r w:rsidR="00AA6AFC">
        <w:t xml:space="preserve"> at Middle Fork</w:t>
      </w:r>
      <w:r>
        <w:t xml:space="preserve"> implementing a new </w:t>
      </w:r>
      <w:r>
        <w:t xml:space="preserve">gifted and talented program, working one day with teachers and one day with students in pull-out groups. </w:t>
      </w:r>
    </w:p>
    <w:p w14:paraId="7FD03B51" w14:textId="2CDF019A" w:rsidR="00EA39D6" w:rsidRDefault="00EA39D6" w:rsidP="00603369">
      <w:pPr>
        <w:spacing w:after="0" w:line="240" w:lineRule="auto"/>
        <w:jc w:val="both"/>
      </w:pPr>
    </w:p>
    <w:p w14:paraId="71C66C82" w14:textId="1CEA2E72" w:rsidR="0071072F" w:rsidRDefault="0071072F" w:rsidP="00603369">
      <w:pPr>
        <w:spacing w:after="0" w:line="240" w:lineRule="auto"/>
        <w:jc w:val="both"/>
      </w:pPr>
      <w:r>
        <w:t>The Academy at Middle Fork’s mission is to provide a balanced education for children, teachers, principals, and families through the implementation of research-based practices and exemplary classroom instruction and administration. The Academy at Middle Fork is committed to developing the whole child, including social, emotional, cognitive, and developmental needs. The Academy</w:t>
      </w:r>
      <w:r w:rsidR="00AA6AFC">
        <w:t xml:space="preserve"> at Middle Fork</w:t>
      </w:r>
      <w:r>
        <w:t xml:space="preserve"> uses a workshop approach for students in all grades and builds literacy skills in all core content areas. Students receive differentiated instruction that engages them in reading, writing, speaking, and listening.</w:t>
      </w:r>
    </w:p>
    <w:p w14:paraId="643DA286" w14:textId="77777777" w:rsidR="0071072F" w:rsidRDefault="0071072F" w:rsidP="00603369">
      <w:pPr>
        <w:spacing w:after="0" w:line="240" w:lineRule="auto"/>
        <w:jc w:val="both"/>
      </w:pPr>
    </w:p>
    <w:p w14:paraId="2B90CCB7" w14:textId="28415006" w:rsidR="0071072F" w:rsidRPr="00CD1FF6" w:rsidRDefault="0071072F" w:rsidP="00603369">
      <w:pPr>
        <w:spacing w:after="0" w:line="240" w:lineRule="auto"/>
        <w:jc w:val="both"/>
      </w:pPr>
      <w:r>
        <w:t>The Academy</w:t>
      </w:r>
      <w:r w:rsidR="00AA6AFC">
        <w:t xml:space="preserve"> at Middle Fork</w:t>
      </w:r>
      <w:r>
        <w:t xml:space="preserve"> incorporates several distinctive practices in its laboratory school model, including the use of </w:t>
      </w:r>
      <w:r>
        <w:rPr>
          <w:i/>
        </w:rPr>
        <w:t xml:space="preserve">In-Curriculum, </w:t>
      </w:r>
      <w:r>
        <w:t xml:space="preserve">which facilitates an inclusive, integrated, and interdisciplinary curricular approach through </w:t>
      </w:r>
      <w:r w:rsidR="005C2529">
        <w:t>4-6-week</w:t>
      </w:r>
      <w:r>
        <w:t xml:space="preserve">, school-wide curricular strands. The </w:t>
      </w:r>
      <w:r>
        <w:rPr>
          <w:i/>
        </w:rPr>
        <w:t xml:space="preserve">In-Curriculum </w:t>
      </w:r>
      <w:r>
        <w:t xml:space="preserve">integrates arts, fitness, and media studies and includes materials and resources for implementation and professional development. The school has expanded its experiential education opportunities through a new Legos and robotics curriculum, along with the science lab, reading lab, and maker’s space. The Academy </w:t>
      </w:r>
      <w:r w:rsidR="00AA6AFC">
        <w:t xml:space="preserve">at Middle Fork </w:t>
      </w:r>
      <w:r>
        <w:t>also uses PBIS and restorative justice behavior management systems.</w:t>
      </w:r>
    </w:p>
    <w:p w14:paraId="6D0A60BE" w14:textId="77777777" w:rsidR="0071072F" w:rsidRDefault="0071072F" w:rsidP="00603369">
      <w:pPr>
        <w:spacing w:after="0" w:line="240" w:lineRule="auto"/>
        <w:jc w:val="both"/>
        <w:rPr>
          <w:i/>
        </w:rPr>
      </w:pPr>
    </w:p>
    <w:p w14:paraId="422E582D" w14:textId="7448E033" w:rsidR="0071072F" w:rsidRDefault="0071072F" w:rsidP="00603369">
      <w:pPr>
        <w:spacing w:after="0" w:line="240" w:lineRule="auto"/>
        <w:jc w:val="both"/>
      </w:pPr>
      <w:r>
        <w:t>The Academy’s physical distance from Appalachian State currently precludes engagement of pre-service candidates in the laboratory school on a daily/regular basis. Since the Academy</w:t>
      </w:r>
      <w:r w:rsidR="00AA6AFC">
        <w:t xml:space="preserve"> at Middle Fork</w:t>
      </w:r>
      <w:r>
        <w:t xml:space="preserve"> is 100 miles away from the College of Education</w:t>
      </w:r>
      <w:r w:rsidR="00AA6AFC">
        <w:t>,</w:t>
      </w:r>
      <w:r>
        <w:t xml:space="preserve"> only </w:t>
      </w:r>
      <w:r w:rsidR="003D2FB7">
        <w:t>pre-service</w:t>
      </w:r>
      <w:r>
        <w:t xml:space="preserve"> candidates who have living accommodations in Forsyth County are assigned there for internships. In 2019-20, Appalachian State placed </w:t>
      </w:r>
      <w:r w:rsidR="004F5C9D">
        <w:t>one</w:t>
      </w:r>
      <w:r>
        <w:t xml:space="preserve"> </w:t>
      </w:r>
      <w:r w:rsidR="003D2FB7">
        <w:t>pre-service</w:t>
      </w:r>
      <w:r>
        <w:t xml:space="preserve"> candidate who reside</w:t>
      </w:r>
      <w:r w:rsidR="004F5C9D">
        <w:t>s</w:t>
      </w:r>
      <w:r w:rsidR="00DE1D23">
        <w:t xml:space="preserve"> </w:t>
      </w:r>
      <w:r>
        <w:t xml:space="preserve">in close proximity to </w:t>
      </w:r>
      <w:r w:rsidR="001F3642">
        <w:t>the Academy at Middle Fork</w:t>
      </w:r>
      <w:r>
        <w:t xml:space="preserve"> for </w:t>
      </w:r>
      <w:r w:rsidR="00AA6AFC">
        <w:t xml:space="preserve">a </w:t>
      </w:r>
      <w:r>
        <w:t xml:space="preserve">student teaching internship. Another </w:t>
      </w:r>
      <w:r w:rsidR="003D2FB7">
        <w:t>pre-service</w:t>
      </w:r>
      <w:r>
        <w:t xml:space="preserve"> candidate completed a special internship in the fall intended to remediate the candidate on certain instructional practices. In addition, pre-service candidates in music, science, social studies, and leadership courses had intermittent field experiences at the laboratory school.</w:t>
      </w:r>
    </w:p>
    <w:p w14:paraId="06F999A2" w14:textId="77777777" w:rsidR="0071072F" w:rsidRDefault="0071072F" w:rsidP="00603369">
      <w:pPr>
        <w:spacing w:after="0" w:line="240" w:lineRule="auto"/>
        <w:jc w:val="both"/>
      </w:pPr>
    </w:p>
    <w:p w14:paraId="308782D1" w14:textId="0756D1D8" w:rsidR="0071072F" w:rsidRDefault="0071072F" w:rsidP="00603369">
      <w:pPr>
        <w:spacing w:after="0" w:line="240" w:lineRule="auto"/>
        <w:jc w:val="both"/>
        <w:rPr>
          <w:rFonts w:cstheme="minorHAnsi"/>
        </w:rPr>
      </w:pPr>
      <w:r>
        <w:rPr>
          <w:rFonts w:cstheme="minorHAnsi"/>
        </w:rPr>
        <w:t>The COE is planning to hold certain methods courses onsite at the laboratory school</w:t>
      </w:r>
      <w:r w:rsidR="00940D07">
        <w:rPr>
          <w:rFonts w:cstheme="minorHAnsi"/>
        </w:rPr>
        <w:t>,</w:t>
      </w:r>
      <w:r>
        <w:rPr>
          <w:rFonts w:cstheme="minorHAnsi"/>
        </w:rPr>
        <w:t xml:space="preserve"> with participants becoming the pool of candidates from which the COE selects student teaching interns and </w:t>
      </w:r>
      <w:r w:rsidR="00940D07">
        <w:rPr>
          <w:rFonts w:cstheme="minorHAnsi"/>
        </w:rPr>
        <w:t xml:space="preserve">with </w:t>
      </w:r>
      <w:r>
        <w:rPr>
          <w:rFonts w:cstheme="minorHAnsi"/>
        </w:rPr>
        <w:t xml:space="preserve">methods instructors serving as student teaching supervisors.  In the meantime, </w:t>
      </w:r>
      <w:r w:rsidRPr="6129E8DB">
        <w:rPr>
          <w:rFonts w:ascii="Calibri" w:eastAsia="Calibri" w:hAnsi="Calibri" w:cs="Calibri"/>
        </w:rPr>
        <w:t xml:space="preserve">the COE has increased its focus on </w:t>
      </w:r>
      <w:r w:rsidRPr="6129E8DB">
        <w:rPr>
          <w:rFonts w:ascii="Calibri" w:eastAsia="Calibri" w:hAnsi="Calibri" w:cs="Calibri"/>
        </w:rPr>
        <w:lastRenderedPageBreak/>
        <w:t xml:space="preserve">leveraging the laboratory school to </w:t>
      </w:r>
      <w:r>
        <w:rPr>
          <w:rFonts w:ascii="Calibri" w:eastAsia="Calibri" w:hAnsi="Calibri" w:cs="Calibri"/>
        </w:rPr>
        <w:t>provide professional development opportunities for in-service teachers and administrators, including participation in COE degree and certification programs. Laboratory school</w:t>
      </w:r>
      <w:r>
        <w:rPr>
          <w:rFonts w:cstheme="minorHAnsi"/>
        </w:rPr>
        <w:t xml:space="preserve"> faculty are invited to apply to COE advanced education programs and those who are accepted and enroll </w:t>
      </w:r>
      <w:r w:rsidR="005C2529">
        <w:rPr>
          <w:rFonts w:cstheme="minorHAnsi"/>
        </w:rPr>
        <w:t>can</w:t>
      </w:r>
      <w:r>
        <w:rPr>
          <w:rFonts w:cstheme="minorHAnsi"/>
        </w:rPr>
        <w:t xml:space="preserve"> apply their learning at the laboratory school under the supervision of their COE faculty instructors. </w:t>
      </w:r>
    </w:p>
    <w:p w14:paraId="56FDA7BD" w14:textId="77777777" w:rsidR="00230CCC" w:rsidRDefault="00230CCC" w:rsidP="00603369">
      <w:pPr>
        <w:pStyle w:val="Heading2"/>
        <w:spacing w:before="0" w:after="0" w:line="240" w:lineRule="auto"/>
        <w:jc w:val="both"/>
        <w:rPr>
          <w:rFonts w:ascii="Calibri" w:eastAsia="Calibri" w:hAnsi="Calibri" w:cs="Calibri"/>
          <w:bCs/>
          <w:iCs/>
          <w:szCs w:val="24"/>
        </w:rPr>
      </w:pPr>
    </w:p>
    <w:p w14:paraId="24F85ECC" w14:textId="21EE88AA" w:rsidR="00603369" w:rsidRDefault="00603369" w:rsidP="00603369">
      <w:pPr>
        <w:pStyle w:val="Heading2"/>
        <w:spacing w:before="0" w:after="0" w:line="240" w:lineRule="auto"/>
        <w:jc w:val="both"/>
        <w:rPr>
          <w:rFonts w:ascii="Calibri" w:eastAsia="Calibri" w:hAnsi="Calibri" w:cs="Calibri"/>
          <w:bCs/>
          <w:iCs/>
          <w:szCs w:val="24"/>
        </w:rPr>
      </w:pPr>
      <w:r>
        <w:rPr>
          <w:rFonts w:ascii="Calibri" w:eastAsia="Calibri" w:hAnsi="Calibri" w:cs="Calibri"/>
          <w:bCs/>
          <w:iCs/>
          <w:szCs w:val="24"/>
        </w:rPr>
        <w:t>The ECU Community School</w:t>
      </w:r>
    </w:p>
    <w:p w14:paraId="659CE612" w14:textId="77777777" w:rsidR="00603369" w:rsidRDefault="00603369" w:rsidP="00603369">
      <w:pPr>
        <w:spacing w:after="0" w:line="240" w:lineRule="auto"/>
        <w:jc w:val="both"/>
        <w:rPr>
          <w:rFonts w:ascii="Calibri" w:eastAsia="Calibri" w:hAnsi="Calibri" w:cs="Calibri"/>
        </w:rPr>
      </w:pPr>
    </w:p>
    <w:p w14:paraId="6235F2A5" w14:textId="7D57465A" w:rsidR="00413F08" w:rsidRDefault="00413F08" w:rsidP="00EA3AE2">
      <w:pPr>
        <w:spacing w:after="0" w:line="240" w:lineRule="auto"/>
        <w:jc w:val="both"/>
        <w:rPr>
          <w:rFonts w:ascii="Calibri" w:eastAsia="Calibri" w:hAnsi="Calibri" w:cs="Calibri"/>
        </w:rPr>
      </w:pPr>
      <w:r w:rsidRPr="6129E8DB">
        <w:rPr>
          <w:rFonts w:ascii="Calibri" w:eastAsia="Calibri" w:hAnsi="Calibri" w:cs="Calibri"/>
        </w:rPr>
        <w:t>The ECU Community School is an elementary school co-located on the campus of South Greenville Elementa</w:t>
      </w:r>
      <w:r>
        <w:rPr>
          <w:rFonts w:ascii="Calibri" w:eastAsia="Calibri" w:hAnsi="Calibri" w:cs="Calibri"/>
        </w:rPr>
        <w:t>ry in Greenville, NC</w:t>
      </w:r>
      <w:r w:rsidRPr="6129E8DB">
        <w:rPr>
          <w:rFonts w:ascii="Calibri" w:eastAsia="Calibri" w:hAnsi="Calibri" w:cs="Calibri"/>
        </w:rPr>
        <w:t xml:space="preserve">. </w:t>
      </w:r>
      <w:r>
        <w:rPr>
          <w:rFonts w:ascii="Calibri" w:eastAsia="Calibri" w:hAnsi="Calibri" w:cs="Calibri"/>
        </w:rPr>
        <w:t>I</w:t>
      </w:r>
      <w:r w:rsidR="00ED5C9F">
        <w:rPr>
          <w:rFonts w:ascii="Calibri" w:eastAsia="Calibri" w:hAnsi="Calibri" w:cs="Calibri"/>
        </w:rPr>
        <w:t xml:space="preserve">n </w:t>
      </w:r>
      <w:r w:rsidR="00ED5C9F">
        <w:rPr>
          <w:rFonts w:ascii="Calibri" w:eastAsia="Calibri" w:hAnsi="Calibri" w:cs="Calibri"/>
        </w:rPr>
        <w:t>2019-20, i</w:t>
      </w:r>
      <w:r>
        <w:rPr>
          <w:rFonts w:ascii="Calibri" w:eastAsia="Calibri" w:hAnsi="Calibri" w:cs="Calibri"/>
        </w:rPr>
        <w:t>t</w:t>
      </w:r>
      <w:r w:rsidRPr="6129E8DB">
        <w:rPr>
          <w:rFonts w:ascii="Calibri" w:eastAsia="Calibri" w:hAnsi="Calibri" w:cs="Calibri"/>
        </w:rPr>
        <w:t xml:space="preserve"> </w:t>
      </w:r>
      <w:r w:rsidR="00ED5C9F" w:rsidRPr="6129E8DB">
        <w:rPr>
          <w:rFonts w:ascii="Calibri" w:eastAsia="Calibri" w:hAnsi="Calibri" w:cs="Calibri"/>
        </w:rPr>
        <w:t>serve</w:t>
      </w:r>
      <w:r w:rsidR="00ED5C9F">
        <w:rPr>
          <w:rFonts w:ascii="Calibri" w:eastAsia="Calibri" w:hAnsi="Calibri" w:cs="Calibri"/>
        </w:rPr>
        <w:t>d</w:t>
      </w:r>
      <w:r w:rsidR="00ED5C9F" w:rsidRPr="6129E8DB">
        <w:rPr>
          <w:rFonts w:ascii="Calibri" w:eastAsia="Calibri" w:hAnsi="Calibri" w:cs="Calibri"/>
        </w:rPr>
        <w:t xml:space="preserve"> </w:t>
      </w:r>
      <w:r w:rsidRPr="6129E8DB">
        <w:rPr>
          <w:rFonts w:ascii="Calibri" w:eastAsia="Calibri" w:hAnsi="Calibri" w:cs="Calibri"/>
        </w:rPr>
        <w:t>grades K-5</w:t>
      </w:r>
      <w:r>
        <w:rPr>
          <w:rFonts w:ascii="Calibri" w:eastAsia="Calibri" w:hAnsi="Calibri" w:cs="Calibri"/>
        </w:rPr>
        <w:t>, with</w:t>
      </w:r>
      <w:r w:rsidRPr="6129E8DB">
        <w:rPr>
          <w:rFonts w:ascii="Calibri" w:eastAsia="Calibri" w:hAnsi="Calibri" w:cs="Calibri"/>
        </w:rPr>
        <w:t xml:space="preserve"> </w:t>
      </w:r>
      <w:r>
        <w:rPr>
          <w:rFonts w:ascii="Calibri" w:eastAsia="Calibri" w:hAnsi="Calibri" w:cs="Calibri"/>
        </w:rPr>
        <w:t xml:space="preserve">one class per grade in grades </w:t>
      </w:r>
      <w:r w:rsidR="006E5E83">
        <w:rPr>
          <w:rFonts w:ascii="Calibri" w:eastAsia="Calibri" w:hAnsi="Calibri" w:cs="Calibri"/>
        </w:rPr>
        <w:t>2</w:t>
      </w:r>
      <w:r>
        <w:rPr>
          <w:rFonts w:ascii="Calibri" w:eastAsia="Calibri" w:hAnsi="Calibri" w:cs="Calibri"/>
        </w:rPr>
        <w:t xml:space="preserve">, </w:t>
      </w:r>
      <w:r w:rsidR="006E5E83">
        <w:rPr>
          <w:rFonts w:ascii="Calibri" w:eastAsia="Calibri" w:hAnsi="Calibri" w:cs="Calibri"/>
        </w:rPr>
        <w:t>3</w:t>
      </w:r>
      <w:r>
        <w:rPr>
          <w:rFonts w:ascii="Calibri" w:eastAsia="Calibri" w:hAnsi="Calibri" w:cs="Calibri"/>
        </w:rPr>
        <w:t xml:space="preserve">, </w:t>
      </w:r>
      <w:r w:rsidR="001F635E">
        <w:rPr>
          <w:rFonts w:ascii="Calibri" w:eastAsia="Calibri" w:hAnsi="Calibri" w:cs="Calibri"/>
        </w:rPr>
        <w:t xml:space="preserve">4, and </w:t>
      </w:r>
      <w:r>
        <w:rPr>
          <w:rFonts w:ascii="Calibri" w:eastAsia="Calibri" w:hAnsi="Calibri" w:cs="Calibri"/>
        </w:rPr>
        <w:t xml:space="preserve">5, and two classrooms each for grades </w:t>
      </w:r>
      <w:r w:rsidR="006E5E83">
        <w:rPr>
          <w:rFonts w:ascii="Calibri" w:eastAsia="Calibri" w:hAnsi="Calibri" w:cs="Calibri"/>
        </w:rPr>
        <w:t>K</w:t>
      </w:r>
      <w:r>
        <w:rPr>
          <w:rFonts w:ascii="Calibri" w:eastAsia="Calibri" w:hAnsi="Calibri" w:cs="Calibri"/>
        </w:rPr>
        <w:t xml:space="preserve"> &amp; </w:t>
      </w:r>
      <w:r w:rsidR="006E5E83">
        <w:rPr>
          <w:rFonts w:ascii="Calibri" w:eastAsia="Calibri" w:hAnsi="Calibri" w:cs="Calibri"/>
        </w:rPr>
        <w:t>1</w:t>
      </w:r>
      <w:r w:rsidRPr="6129E8DB">
        <w:rPr>
          <w:rFonts w:ascii="Calibri" w:eastAsia="Calibri" w:hAnsi="Calibri" w:cs="Calibri"/>
        </w:rPr>
        <w:t>.</w:t>
      </w:r>
      <w:r w:rsidR="00EA3AE2" w:rsidDel="00EA3AE2">
        <w:rPr>
          <w:rStyle w:val="CommentReference"/>
        </w:rPr>
        <w:t xml:space="preserve"> </w:t>
      </w:r>
    </w:p>
    <w:p w14:paraId="4AAA82A7" w14:textId="77777777" w:rsidR="00413F08" w:rsidRDefault="00413F08" w:rsidP="00EA3AE2">
      <w:pPr>
        <w:spacing w:after="0" w:line="240" w:lineRule="auto"/>
        <w:jc w:val="both"/>
      </w:pPr>
    </w:p>
    <w:p w14:paraId="0A630AED" w14:textId="639FCF08" w:rsidR="00413F08" w:rsidRDefault="00413F08" w:rsidP="00EA3AE2">
      <w:pPr>
        <w:spacing w:after="0" w:line="240" w:lineRule="auto"/>
        <w:jc w:val="both"/>
        <w:rPr>
          <w:rFonts w:eastAsiaTheme="minorEastAsia"/>
        </w:rPr>
      </w:pPr>
      <w:r>
        <w:rPr>
          <w:rFonts w:eastAsiaTheme="minorEastAsia"/>
        </w:rPr>
        <w:t>In its third year of operation, the laboratory school’s staff included a principal, eight teachers in kindergarten through 5</w:t>
      </w:r>
      <w:r w:rsidRPr="00603369">
        <w:rPr>
          <w:rFonts w:eastAsiaTheme="minorEastAsia"/>
          <w:vertAlign w:val="superscript"/>
        </w:rPr>
        <w:t>th</w:t>
      </w:r>
      <w:r>
        <w:rPr>
          <w:rFonts w:eastAsiaTheme="minorEastAsia"/>
        </w:rPr>
        <w:t xml:space="preserve"> grade, four teacher assistants, a special education director/teacher, a second special education teacher, a part-time curriculum director, a full-time director of integrated health, a full-time school counselor, a full-time administrative assistant and a full-time social worker. The laboratory school and its host district, Pitt County Schools, jointly funded an art teacher.</w:t>
      </w:r>
    </w:p>
    <w:p w14:paraId="14A6D9CD" w14:textId="77777777" w:rsidR="00413F08" w:rsidRDefault="00413F08" w:rsidP="00603369">
      <w:pPr>
        <w:spacing w:after="0" w:line="240" w:lineRule="auto"/>
        <w:jc w:val="both"/>
        <w:rPr>
          <w:rFonts w:eastAsiaTheme="minorEastAsia"/>
        </w:rPr>
      </w:pPr>
    </w:p>
    <w:p w14:paraId="5FFE4DAF" w14:textId="77777777" w:rsidR="00413F08" w:rsidRDefault="00413F08" w:rsidP="00603369">
      <w:pPr>
        <w:spacing w:after="0" w:line="240" w:lineRule="auto"/>
        <w:jc w:val="both"/>
        <w:rPr>
          <w:rFonts w:eastAsiaTheme="minorEastAsia"/>
        </w:rPr>
      </w:pPr>
      <w:r>
        <w:rPr>
          <w:rFonts w:eastAsiaTheme="minorEastAsia"/>
        </w:rPr>
        <w:t xml:space="preserve">The ECU Community School acknowledges and supports the integration of health, wellness, and learning to develop the whole child. The laboratory school uses an intentional approach to build literacy and numeracy skills through the core subjects of mathematics, science, reading/English language arts, and social studies. Its long-term literacy focus includes working with the leadership team, laboratory school teachers, and other stakeholders to facilitate the development of a multi-year plan to bring evidence-based reading instruction and the use of a complementary comprehensive assessment system to scale in the laboratory school. The ECU Community School is simultaneously focused on engaging children in learning experiences that support their curiosity, creativity, inquiry, and intellectual growth in a school environment that respects their strengths and meets their needs. The school implements PBIS through weekly recognition of classes and individuals with outstanding behavior. </w:t>
      </w:r>
    </w:p>
    <w:p w14:paraId="39F725F7" w14:textId="77777777" w:rsidR="00413F08" w:rsidRDefault="00413F08" w:rsidP="00603369">
      <w:pPr>
        <w:spacing w:after="0" w:line="240" w:lineRule="auto"/>
        <w:jc w:val="both"/>
        <w:rPr>
          <w:rFonts w:eastAsiaTheme="minorEastAsia"/>
        </w:rPr>
      </w:pPr>
    </w:p>
    <w:p w14:paraId="59784414" w14:textId="116B79F9" w:rsidR="00413F08" w:rsidRDefault="00413F08" w:rsidP="00603369">
      <w:pPr>
        <w:spacing w:after="0" w:line="240" w:lineRule="auto"/>
        <w:jc w:val="both"/>
        <w:rPr>
          <w:rFonts w:eastAsiaTheme="minorEastAsia"/>
        </w:rPr>
      </w:pPr>
      <w:r>
        <w:rPr>
          <w:rFonts w:eastAsiaTheme="minorEastAsia"/>
        </w:rPr>
        <w:t xml:space="preserve">A majority of the schools and colleges on the ECU campus are engaged with the laboratory school to support its whole child approach. Pre-service candidates from the Allied Health, Health and Human Performance, Medical, Dental, Arts and Sciences, and Fine Arts and Communication colleges had clinical experiences at the ECU Community </w:t>
      </w:r>
      <w:r>
        <w:rPr>
          <w:rFonts w:eastAsiaTheme="minorEastAsia"/>
        </w:rPr>
        <w:t>School in the 2019-20 school year. They supported implementation of enrichment activities focused on inquisitive and experiential learning (e.g.</w:t>
      </w:r>
      <w:r w:rsidR="006E5E83">
        <w:rPr>
          <w:rFonts w:eastAsiaTheme="minorEastAsia"/>
        </w:rPr>
        <w:t xml:space="preserve">, Pirate Play Group focused on speech/language development and early literacy and </w:t>
      </w:r>
      <w:r>
        <w:rPr>
          <w:rFonts w:eastAsiaTheme="minorEastAsia"/>
        </w:rPr>
        <w:t>music</w:t>
      </w:r>
      <w:r w:rsidR="006E5E83">
        <w:rPr>
          <w:rFonts w:eastAsiaTheme="minorEastAsia"/>
        </w:rPr>
        <w:t>)</w:t>
      </w:r>
      <w:r>
        <w:rPr>
          <w:rFonts w:eastAsiaTheme="minorEastAsia"/>
        </w:rPr>
        <w:t xml:space="preserve"> and family engagement activities, including home visits to determine physical and social-emotional needs and provision of supports and referrals. </w:t>
      </w:r>
    </w:p>
    <w:p w14:paraId="75D89AD0" w14:textId="77777777" w:rsidR="00413F08" w:rsidRDefault="00413F08" w:rsidP="00603369">
      <w:pPr>
        <w:spacing w:after="0" w:line="240" w:lineRule="auto"/>
        <w:jc w:val="both"/>
        <w:rPr>
          <w:rFonts w:eastAsiaTheme="minorEastAsia"/>
        </w:rPr>
      </w:pPr>
    </w:p>
    <w:p w14:paraId="384DF61D" w14:textId="1A4B04A7" w:rsidR="00570C35" w:rsidRDefault="00C444A5" w:rsidP="00603369">
      <w:pPr>
        <w:spacing w:after="0" w:line="240" w:lineRule="auto"/>
        <w:jc w:val="both"/>
        <w:rPr>
          <w:rFonts w:eastAsiaTheme="minorEastAsia"/>
        </w:rPr>
      </w:pPr>
      <w:r>
        <w:rPr>
          <w:rFonts w:eastAsiaTheme="minorEastAsia"/>
        </w:rPr>
        <w:t>Nearly 50</w:t>
      </w:r>
      <w:r w:rsidR="00413F08" w:rsidRPr="6129E8DB">
        <w:rPr>
          <w:rFonts w:eastAsiaTheme="minorEastAsia"/>
        </w:rPr>
        <w:t xml:space="preserve"> </w:t>
      </w:r>
      <w:r w:rsidR="00413F08">
        <w:rPr>
          <w:rFonts w:eastAsiaTheme="minorEastAsia"/>
        </w:rPr>
        <w:t>pre-service</w:t>
      </w:r>
      <w:r w:rsidR="00413F08" w:rsidRPr="6129E8DB">
        <w:rPr>
          <w:rFonts w:eastAsiaTheme="minorEastAsia"/>
        </w:rPr>
        <w:t xml:space="preserve"> candidates in the</w:t>
      </w:r>
      <w:r w:rsidR="00413F08">
        <w:rPr>
          <w:rFonts w:eastAsiaTheme="minorEastAsia"/>
        </w:rPr>
        <w:t xml:space="preserve"> elementary grades program at the ECU COE had early field </w:t>
      </w:r>
      <w:r w:rsidR="005C2529">
        <w:rPr>
          <w:rFonts w:eastAsiaTheme="minorEastAsia"/>
        </w:rPr>
        <w:t>experiences</w:t>
      </w:r>
      <w:r w:rsidR="00413F08">
        <w:rPr>
          <w:rFonts w:eastAsiaTheme="minorEastAsia"/>
        </w:rPr>
        <w:t xml:space="preserve"> at the laboratory school in the 2019-20 school year</w:t>
      </w:r>
      <w:r w:rsidR="00B726C7">
        <w:rPr>
          <w:rFonts w:eastAsiaTheme="minorEastAsia"/>
        </w:rPr>
        <w:t xml:space="preserve">. </w:t>
      </w:r>
      <w:r w:rsidR="00413F08">
        <w:rPr>
          <w:rFonts w:eastAsiaTheme="minorEastAsia"/>
        </w:rPr>
        <w:t>Two student teachers, a</w:t>
      </w:r>
      <w:r>
        <w:rPr>
          <w:rFonts w:eastAsiaTheme="minorEastAsia"/>
        </w:rPr>
        <w:t>n elementary</w:t>
      </w:r>
      <w:r w:rsidR="00413F08">
        <w:rPr>
          <w:rFonts w:eastAsiaTheme="minorEastAsia"/>
        </w:rPr>
        <w:t xml:space="preserve"> education major and a birth to kindergarten major, served</w:t>
      </w:r>
      <w:r w:rsidR="00B726C7">
        <w:rPr>
          <w:rFonts w:eastAsiaTheme="minorEastAsia"/>
        </w:rPr>
        <w:t xml:space="preserve"> in</w:t>
      </w:r>
      <w:r w:rsidR="00413F08">
        <w:rPr>
          <w:rFonts w:eastAsiaTheme="minorEastAsia"/>
        </w:rPr>
        <w:t xml:space="preserve"> internships. In </w:t>
      </w:r>
      <w:r w:rsidR="00B63052">
        <w:rPr>
          <w:rFonts w:eastAsiaTheme="minorEastAsia"/>
        </w:rPr>
        <w:t>addition,</w:t>
      </w:r>
      <w:r w:rsidR="00570C35">
        <w:rPr>
          <w:rFonts w:eastAsiaTheme="minorEastAsia"/>
        </w:rPr>
        <w:t xml:space="preserve"> four school leader candidates from ECU’s NC Principal Fellow cohort spent 1.5 days, per week, on the ECU Community School campus completing service projects on supporting beginning teachers and school climate/culture.</w:t>
      </w:r>
    </w:p>
    <w:p w14:paraId="5F82F823" w14:textId="77777777" w:rsidR="00413F08" w:rsidRDefault="00413F08" w:rsidP="00603369">
      <w:pPr>
        <w:spacing w:after="0" w:line="240" w:lineRule="auto"/>
        <w:jc w:val="both"/>
        <w:rPr>
          <w:rFonts w:eastAsiaTheme="minorEastAsia"/>
        </w:rPr>
      </w:pPr>
    </w:p>
    <w:p w14:paraId="3E764A1B" w14:textId="77777777" w:rsidR="00413F08" w:rsidRDefault="00413F08" w:rsidP="00603369">
      <w:pPr>
        <w:spacing w:after="0" w:line="240" w:lineRule="auto"/>
        <w:jc w:val="both"/>
        <w:rPr>
          <w:rFonts w:ascii="Calibri" w:eastAsia="Calibri" w:hAnsi="Calibri" w:cs="Calibri"/>
        </w:rPr>
      </w:pPr>
      <w:r>
        <w:rPr>
          <w:rFonts w:ascii="Calibri" w:eastAsia="Calibri" w:hAnsi="Calibri" w:cs="Calibri"/>
        </w:rPr>
        <w:t xml:space="preserve">Some distinct practices that the ECU Community School is implementing include a standards-based report card to assess individual progression to content mastery; an integrated health collaborative (IHC) approach to identify physical health and social-emotional needs and provide appropriate medical and counseling supports/referrals; a modified version of the </w:t>
      </w:r>
      <w:proofErr w:type="spellStart"/>
      <w:r>
        <w:rPr>
          <w:rFonts w:ascii="Calibri" w:eastAsia="Calibri" w:hAnsi="Calibri" w:cs="Calibri"/>
        </w:rPr>
        <w:t>edTPA</w:t>
      </w:r>
      <w:proofErr w:type="spellEnd"/>
      <w:r>
        <w:rPr>
          <w:rFonts w:ascii="Calibri" w:eastAsia="Calibri" w:hAnsi="Calibri" w:cs="Calibri"/>
        </w:rPr>
        <w:t xml:space="preserve"> to coach in-service teachers, inform their </w:t>
      </w:r>
      <w:r>
        <w:rPr>
          <w:rFonts w:ascii="Calibri" w:eastAsia="Calibri" w:hAnsi="Calibri" w:cs="Calibri"/>
        </w:rPr>
        <w:lastRenderedPageBreak/>
        <w:t>professional development, and create a common language for teachers to use with pre-service candidates; and a two-way, live-streamed video feed between university and laboratory school classrooms that allows pre-service candidates to observe instructional practices, classroom management techniques, and student behaviors in real-time.</w:t>
      </w:r>
    </w:p>
    <w:p w14:paraId="58F5F581" w14:textId="77777777" w:rsidR="00570C35" w:rsidRDefault="00570C35" w:rsidP="00BD6DE4">
      <w:pPr>
        <w:spacing w:after="0" w:line="240" w:lineRule="auto"/>
        <w:rPr>
          <w:rFonts w:ascii="Calibri" w:eastAsia="Calibri" w:hAnsi="Calibri" w:cs="Calibri"/>
          <w:b/>
          <w:bCs/>
          <w:i/>
          <w:iCs/>
          <w:sz w:val="24"/>
          <w:szCs w:val="24"/>
        </w:rPr>
      </w:pPr>
    </w:p>
    <w:p w14:paraId="48D9D446" w14:textId="40FD8577" w:rsidR="6129E8DB" w:rsidRDefault="6129E8DB" w:rsidP="00BD6DE4">
      <w:pPr>
        <w:spacing w:after="0" w:line="240" w:lineRule="auto"/>
      </w:pPr>
      <w:r w:rsidRPr="6129E8DB">
        <w:rPr>
          <w:rFonts w:ascii="Calibri" w:eastAsia="Calibri" w:hAnsi="Calibri" w:cs="Calibri"/>
          <w:b/>
          <w:bCs/>
          <w:i/>
          <w:iCs/>
          <w:sz w:val="24"/>
          <w:szCs w:val="24"/>
        </w:rPr>
        <w:t>Moss Street Partnership School</w:t>
      </w:r>
    </w:p>
    <w:p w14:paraId="7140FD5A" w14:textId="77777777" w:rsidR="00BD6DE4" w:rsidRDefault="00BD6DE4" w:rsidP="00BD6DE4">
      <w:pPr>
        <w:spacing w:after="0" w:line="240" w:lineRule="auto"/>
        <w:jc w:val="both"/>
        <w:rPr>
          <w:rFonts w:ascii="Calibri" w:eastAsia="Calibri" w:hAnsi="Calibri" w:cs="Calibri"/>
        </w:rPr>
      </w:pPr>
    </w:p>
    <w:p w14:paraId="26DFD459" w14:textId="3E1C83BC" w:rsidR="00CD5563" w:rsidRDefault="00CD5563" w:rsidP="00BD6DE4">
      <w:pPr>
        <w:spacing w:after="0" w:line="240" w:lineRule="auto"/>
        <w:jc w:val="both"/>
        <w:rPr>
          <w:rFonts w:ascii="Calibri" w:eastAsia="Calibri" w:hAnsi="Calibri" w:cs="Calibri"/>
        </w:rPr>
      </w:pPr>
      <w:r w:rsidRPr="6129E8DB">
        <w:rPr>
          <w:rFonts w:ascii="Calibri" w:eastAsia="Calibri" w:hAnsi="Calibri" w:cs="Calibri"/>
        </w:rPr>
        <w:t xml:space="preserve">The </w:t>
      </w:r>
      <w:r>
        <w:rPr>
          <w:rFonts w:ascii="Calibri" w:eastAsia="Calibri" w:hAnsi="Calibri" w:cs="Calibri"/>
        </w:rPr>
        <w:t xml:space="preserve">Moss Street Partnership School (UNCG) is an elementary school located north of Greensboro, in Reidsville, NC, that occupies a former Rockingham County Schools (RCS) elementary school. </w:t>
      </w:r>
      <w:r w:rsidRPr="6129E8DB">
        <w:rPr>
          <w:rFonts w:ascii="Calibri" w:eastAsia="Calibri" w:hAnsi="Calibri" w:cs="Calibri"/>
        </w:rPr>
        <w:t>The laboratory school serves students in grades K-5, averaging approximately three classrooms per grade level. Staff and students at the</w:t>
      </w:r>
      <w:r w:rsidR="00C444A5">
        <w:rPr>
          <w:rFonts w:ascii="Calibri" w:eastAsia="Calibri" w:hAnsi="Calibri" w:cs="Calibri"/>
        </w:rPr>
        <w:t xml:space="preserve"> Moss Street</w:t>
      </w:r>
      <w:r w:rsidRPr="6129E8DB">
        <w:rPr>
          <w:rFonts w:ascii="Calibri" w:eastAsia="Calibri" w:hAnsi="Calibri" w:cs="Calibri"/>
        </w:rPr>
        <w:t xml:space="preserve"> Partnership School follow the traditional RCS district calendar.</w:t>
      </w:r>
    </w:p>
    <w:p w14:paraId="73E229FA" w14:textId="77777777" w:rsidR="00CD5563" w:rsidRDefault="00CD5563" w:rsidP="00BD6DE4">
      <w:pPr>
        <w:spacing w:after="0" w:line="240" w:lineRule="auto"/>
        <w:jc w:val="both"/>
      </w:pPr>
    </w:p>
    <w:p w14:paraId="46715F3F" w14:textId="35CE8FBF" w:rsidR="00CD5563" w:rsidRDefault="00CD5563" w:rsidP="00BD6DE4">
      <w:pPr>
        <w:spacing w:after="0" w:line="240" w:lineRule="auto"/>
        <w:jc w:val="both"/>
        <w:rPr>
          <w:rFonts w:ascii="Calibri" w:eastAsia="Calibri" w:hAnsi="Calibri" w:cs="Calibri"/>
        </w:rPr>
      </w:pPr>
      <w:r>
        <w:rPr>
          <w:rFonts w:ascii="Calibri" w:hAnsi="Calibri" w:cs="Calibri"/>
        </w:rPr>
        <w:t xml:space="preserve">In its second year, </w:t>
      </w:r>
      <w:r w:rsidR="0071017B">
        <w:rPr>
          <w:rFonts w:ascii="Calibri" w:hAnsi="Calibri" w:cs="Calibri"/>
        </w:rPr>
        <w:t xml:space="preserve">the </w:t>
      </w:r>
      <w:r>
        <w:rPr>
          <w:rFonts w:ascii="Calibri" w:hAnsi="Calibri" w:cs="Calibri"/>
        </w:rPr>
        <w:t xml:space="preserve">Moss Street Partnership </w:t>
      </w:r>
      <w:r w:rsidRPr="00A42E09">
        <w:rPr>
          <w:rFonts w:ascii="Calibri" w:hAnsi="Calibri" w:cs="Calibri"/>
        </w:rPr>
        <w:t>School employ</w:t>
      </w:r>
      <w:r>
        <w:rPr>
          <w:rFonts w:ascii="Calibri" w:hAnsi="Calibri" w:cs="Calibri"/>
        </w:rPr>
        <w:t>ed</w:t>
      </w:r>
      <w:r w:rsidRPr="00A42E09">
        <w:rPr>
          <w:rFonts w:ascii="Calibri" w:hAnsi="Calibri" w:cs="Calibri"/>
        </w:rPr>
        <w:t xml:space="preserve"> </w:t>
      </w:r>
      <w:r>
        <w:rPr>
          <w:rFonts w:ascii="Calibri" w:hAnsi="Calibri" w:cs="Calibri"/>
        </w:rPr>
        <w:t>24</w:t>
      </w:r>
      <w:r w:rsidRPr="00A42E09">
        <w:rPr>
          <w:rFonts w:ascii="Calibri" w:hAnsi="Calibri" w:cs="Calibri"/>
        </w:rPr>
        <w:t xml:space="preserve"> classroom teachers</w:t>
      </w:r>
      <w:r>
        <w:rPr>
          <w:rFonts w:ascii="Calibri" w:hAnsi="Calibri" w:cs="Calibri"/>
        </w:rPr>
        <w:t xml:space="preserve"> (five of whom were creative arts or PE teachers)</w:t>
      </w:r>
      <w:r w:rsidRPr="00A42E09">
        <w:rPr>
          <w:rFonts w:ascii="Calibri" w:hAnsi="Calibri" w:cs="Calibri"/>
        </w:rPr>
        <w:t xml:space="preserve">, </w:t>
      </w:r>
      <w:r>
        <w:rPr>
          <w:rFonts w:ascii="Calibri" w:hAnsi="Calibri" w:cs="Calibri"/>
        </w:rPr>
        <w:t>four</w:t>
      </w:r>
      <w:r w:rsidRPr="00A42E09">
        <w:rPr>
          <w:rFonts w:ascii="Calibri" w:hAnsi="Calibri" w:cs="Calibri"/>
        </w:rPr>
        <w:t xml:space="preserve"> special education teachers, </w:t>
      </w:r>
      <w:r>
        <w:rPr>
          <w:rFonts w:ascii="Calibri" w:hAnsi="Calibri" w:cs="Calibri"/>
        </w:rPr>
        <w:t>a</w:t>
      </w:r>
      <w:r w:rsidRPr="00A42E09">
        <w:rPr>
          <w:rFonts w:ascii="Calibri" w:hAnsi="Calibri" w:cs="Calibri"/>
        </w:rPr>
        <w:t xml:space="preserve"> speech/language pathologist, </w:t>
      </w:r>
      <w:r>
        <w:rPr>
          <w:rFonts w:ascii="Calibri" w:hAnsi="Calibri" w:cs="Calibri"/>
        </w:rPr>
        <w:t>a</w:t>
      </w:r>
      <w:r w:rsidRPr="00A42E09">
        <w:rPr>
          <w:rFonts w:ascii="Calibri" w:hAnsi="Calibri" w:cs="Calibri"/>
        </w:rPr>
        <w:t xml:space="preserve"> special education teacher assistant, </w:t>
      </w:r>
      <w:r>
        <w:rPr>
          <w:rFonts w:ascii="Calibri" w:hAnsi="Calibri" w:cs="Calibri"/>
        </w:rPr>
        <w:t>a</w:t>
      </w:r>
      <w:r w:rsidRPr="00A42E09">
        <w:rPr>
          <w:rFonts w:ascii="Calibri" w:hAnsi="Calibri" w:cs="Calibri"/>
        </w:rPr>
        <w:t xml:space="preserve"> school counselor, </w:t>
      </w:r>
      <w:r>
        <w:rPr>
          <w:rFonts w:ascii="Calibri" w:hAnsi="Calibri" w:cs="Calibri"/>
        </w:rPr>
        <w:t>a</w:t>
      </w:r>
      <w:r w:rsidRPr="00A42E09">
        <w:rPr>
          <w:rFonts w:ascii="Calibri" w:hAnsi="Calibri" w:cs="Calibri"/>
        </w:rPr>
        <w:t xml:space="preserve"> school social worker, </w:t>
      </w:r>
      <w:r>
        <w:rPr>
          <w:rFonts w:ascii="Calibri" w:hAnsi="Calibri" w:cs="Calibri"/>
        </w:rPr>
        <w:t>a</w:t>
      </w:r>
      <w:r w:rsidRPr="00A42E09">
        <w:rPr>
          <w:rFonts w:ascii="Calibri" w:hAnsi="Calibri" w:cs="Calibri"/>
        </w:rPr>
        <w:t xml:space="preserve"> media specialist, </w:t>
      </w:r>
      <w:r>
        <w:rPr>
          <w:rFonts w:ascii="Calibri" w:hAnsi="Calibri" w:cs="Calibri"/>
        </w:rPr>
        <w:t>an</w:t>
      </w:r>
      <w:r w:rsidRPr="00A42E09">
        <w:rPr>
          <w:rFonts w:ascii="Calibri" w:hAnsi="Calibri" w:cs="Calibri"/>
        </w:rPr>
        <w:t xml:space="preserve"> instructional technology consultant, </w:t>
      </w:r>
      <w:r>
        <w:rPr>
          <w:rFonts w:ascii="Calibri" w:hAnsi="Calibri" w:cs="Calibri"/>
        </w:rPr>
        <w:t>a</w:t>
      </w:r>
      <w:r w:rsidRPr="00A42E09">
        <w:rPr>
          <w:rFonts w:ascii="Calibri" w:hAnsi="Calibri" w:cs="Calibri"/>
        </w:rPr>
        <w:t xml:space="preserve"> principal, </w:t>
      </w:r>
      <w:r>
        <w:rPr>
          <w:rFonts w:ascii="Calibri" w:hAnsi="Calibri" w:cs="Calibri"/>
        </w:rPr>
        <w:t>an</w:t>
      </w:r>
      <w:r w:rsidRPr="00A42E09">
        <w:rPr>
          <w:rFonts w:ascii="Calibri" w:hAnsi="Calibri" w:cs="Calibri"/>
        </w:rPr>
        <w:t xml:space="preserve"> assistant principal, </w:t>
      </w:r>
      <w:r>
        <w:rPr>
          <w:rFonts w:ascii="Calibri" w:hAnsi="Calibri" w:cs="Calibri"/>
        </w:rPr>
        <w:t>a</w:t>
      </w:r>
      <w:r w:rsidRPr="00A42E09">
        <w:rPr>
          <w:rFonts w:ascii="Calibri" w:hAnsi="Calibri" w:cs="Calibri"/>
        </w:rPr>
        <w:t xml:space="preserve"> curriculum director, </w:t>
      </w:r>
      <w:r>
        <w:rPr>
          <w:rFonts w:ascii="Calibri" w:hAnsi="Calibri" w:cs="Calibri"/>
        </w:rPr>
        <w:t>an</w:t>
      </w:r>
      <w:r w:rsidRPr="00A42E09">
        <w:rPr>
          <w:rFonts w:ascii="Calibri" w:hAnsi="Calibri" w:cs="Calibri"/>
        </w:rPr>
        <w:t xml:space="preserve"> office manager, and </w:t>
      </w:r>
      <w:r>
        <w:rPr>
          <w:rFonts w:ascii="Calibri" w:hAnsi="Calibri" w:cs="Calibri"/>
        </w:rPr>
        <w:t>a</w:t>
      </w:r>
      <w:r w:rsidRPr="00A42E09">
        <w:rPr>
          <w:rFonts w:ascii="Calibri" w:hAnsi="Calibri" w:cs="Calibri"/>
        </w:rPr>
        <w:t xml:space="preserve"> budget and personnel director.</w:t>
      </w:r>
      <w:r>
        <w:rPr>
          <w:rFonts w:ascii="Calibri" w:eastAsia="Calibri" w:hAnsi="Calibri" w:cs="Calibri"/>
        </w:rPr>
        <w:t xml:space="preserve"> In addition, two COE faculty supported teachers and students in the school as co-directors.</w:t>
      </w:r>
    </w:p>
    <w:p w14:paraId="065FBE72" w14:textId="77777777" w:rsidR="00CD5563" w:rsidRDefault="00CD5563" w:rsidP="00BD6DE4">
      <w:pPr>
        <w:spacing w:after="0" w:line="240" w:lineRule="auto"/>
        <w:jc w:val="both"/>
        <w:rPr>
          <w:rFonts w:ascii="Calibri" w:eastAsia="Calibri" w:hAnsi="Calibri" w:cs="Calibri"/>
        </w:rPr>
      </w:pPr>
    </w:p>
    <w:p w14:paraId="2219C4A0" w14:textId="1F7F132C" w:rsidR="00CD5563" w:rsidRDefault="00CD5563" w:rsidP="00BD6DE4">
      <w:pPr>
        <w:spacing w:after="0" w:line="240" w:lineRule="auto"/>
        <w:jc w:val="both"/>
        <w:rPr>
          <w:rFonts w:ascii="Calibri" w:eastAsia="Calibri" w:hAnsi="Calibri" w:cs="Calibri"/>
        </w:rPr>
      </w:pPr>
      <w:r>
        <w:rPr>
          <w:rFonts w:ascii="Calibri" w:eastAsia="Calibri" w:hAnsi="Calibri" w:cs="Calibri"/>
        </w:rPr>
        <w:t>The Moss Street Partnership School uses a “learner-centered, learner-led” approach and emphasizes experiential learning, inclusive education, and a collaborative environment for both students and teachers. STEAM instruction is prominent at the Moss Street Partnership School. The campus features a makerspace and the school employs a full-time instructional technology consultant who assists teachers with the incorporation of technology into their lessons. As a fully inclusive school, the Moss Street Partnership School is oriented to the whole child, including meeting academic, social, emotional, and developmental needs. Faculty from other UNCG programs including kinesiology and psychology are supporting planning for and professional development on issues such as adverse childhood experiences, trauma-sensitive interventions, restorative practices, and incorporating physical education and social learning into the curriculum. The school has engaged in professional learning on restorative practices, including on the formation of a Restorative Practice Inquiry team. In support of its dual focus on academic and whole child development, the school uses some distinctive practices including a standards-based report card to assess individual progression towards content mastery.</w:t>
      </w:r>
    </w:p>
    <w:p w14:paraId="51990438" w14:textId="77777777" w:rsidR="00CD5563" w:rsidRDefault="00CD5563" w:rsidP="00BD6DE4">
      <w:pPr>
        <w:spacing w:after="0" w:line="240" w:lineRule="auto"/>
        <w:jc w:val="both"/>
        <w:rPr>
          <w:rFonts w:ascii="Calibri" w:eastAsia="Calibri" w:hAnsi="Calibri" w:cs="Calibri"/>
        </w:rPr>
      </w:pPr>
    </w:p>
    <w:p w14:paraId="7643A6DE" w14:textId="48C3F988" w:rsidR="00CD5563" w:rsidRDefault="00CD5563" w:rsidP="00BD6DE4">
      <w:pPr>
        <w:spacing w:after="0" w:line="240" w:lineRule="auto"/>
        <w:jc w:val="both"/>
      </w:pPr>
      <w:r>
        <w:t xml:space="preserve">In 2019-20, UNCG placed one </w:t>
      </w:r>
      <w:r w:rsidR="0071017B">
        <w:t>health and physical education</w:t>
      </w:r>
      <w:r>
        <w:t xml:space="preserve"> student teaching intern for both semesters (intern I and II) at the laboratory school. Nearly two dozen juniors from the Elementary Education and Special Education majors had early field experiences at the lab school in 2019-20. A Principal Fellow was slated to join the Partnership School for a full-time year-long internship in 2019-20, but the student withdrew from the program before the start of school. The Moss Street Partnership School also hosted two year-long interns from the School of Health and Human Services in School Social Work, four semester-long interns in Speech-Language Pathology, 12 school nursing interns, and a school counseling intern. The School of Nursing will support a full-time School Health Coordinator/School Nurse at the Partnership School starting in 2020-21.</w:t>
      </w:r>
    </w:p>
    <w:p w14:paraId="1C657A47" w14:textId="77777777" w:rsidR="00CD5563" w:rsidRPr="00EC7650" w:rsidRDefault="00CD5563" w:rsidP="00BD6DE4">
      <w:pPr>
        <w:spacing w:after="0" w:line="240" w:lineRule="auto"/>
        <w:jc w:val="both"/>
        <w:rPr>
          <w:rFonts w:ascii="Times New Roman" w:eastAsia="Arial" w:hAnsi="Times New Roman" w:cs="Times New Roman"/>
          <w:sz w:val="24"/>
          <w:szCs w:val="20"/>
        </w:rPr>
      </w:pPr>
    </w:p>
    <w:p w14:paraId="7C10B15C" w14:textId="298FC32F" w:rsidR="00CD5563" w:rsidRDefault="00CD5563" w:rsidP="00BD6DE4">
      <w:pPr>
        <w:widowControl w:val="0"/>
        <w:spacing w:after="0" w:line="240" w:lineRule="auto"/>
        <w:jc w:val="both"/>
      </w:pPr>
      <w:r w:rsidRPr="0014797E">
        <w:rPr>
          <w:rFonts w:ascii="Calibri" w:eastAsia="Calibri" w:hAnsi="Calibri" w:cs="Calibri"/>
        </w:rPr>
        <w:t>In addition,</w:t>
      </w:r>
      <w:r w:rsidR="00C444A5">
        <w:rPr>
          <w:rFonts w:ascii="Calibri" w:eastAsia="Calibri" w:hAnsi="Calibri" w:cs="Calibri"/>
        </w:rPr>
        <w:t xml:space="preserve"> </w:t>
      </w:r>
      <w:r w:rsidR="00210AE9">
        <w:rPr>
          <w:rFonts w:ascii="Calibri" w:eastAsia="Calibri" w:hAnsi="Calibri" w:cs="Calibri"/>
        </w:rPr>
        <w:t>eight</w:t>
      </w:r>
      <w:r w:rsidRPr="0014797E">
        <w:rPr>
          <w:rFonts w:ascii="Calibri" w:eastAsia="Calibri" w:hAnsi="Calibri" w:cs="Calibri"/>
        </w:rPr>
        <w:t xml:space="preserve"> classroom teachers </w:t>
      </w:r>
      <w:r>
        <w:rPr>
          <w:rFonts w:ascii="Calibri" w:eastAsia="Calibri" w:hAnsi="Calibri" w:cs="Calibri"/>
        </w:rPr>
        <w:t>are enrolled</w:t>
      </w:r>
      <w:r w:rsidRPr="0014797E">
        <w:rPr>
          <w:rFonts w:ascii="Calibri" w:eastAsia="Calibri" w:hAnsi="Calibri" w:cs="Calibri"/>
        </w:rPr>
        <w:t xml:space="preserve"> </w:t>
      </w:r>
      <w:r w:rsidR="0071017B">
        <w:rPr>
          <w:rFonts w:ascii="Calibri" w:eastAsia="Calibri" w:hAnsi="Calibri" w:cs="Calibri"/>
        </w:rPr>
        <w:t xml:space="preserve">in </w:t>
      </w:r>
      <w:r>
        <w:rPr>
          <w:rFonts w:ascii="Calibri" w:eastAsia="Calibri" w:hAnsi="Calibri" w:cs="Calibri"/>
        </w:rPr>
        <w:t xml:space="preserve">UNCG </w:t>
      </w:r>
      <w:r w:rsidRPr="0014797E">
        <w:rPr>
          <w:rFonts w:ascii="Calibri" w:eastAsia="Calibri" w:hAnsi="Calibri" w:cs="Calibri"/>
        </w:rPr>
        <w:t>M.Ed.</w:t>
      </w:r>
      <w:r>
        <w:rPr>
          <w:rFonts w:ascii="Calibri" w:eastAsia="Calibri" w:hAnsi="Calibri" w:cs="Calibri"/>
        </w:rPr>
        <w:t xml:space="preserve"> </w:t>
      </w:r>
      <w:r w:rsidRPr="0014797E">
        <w:rPr>
          <w:rFonts w:ascii="Calibri" w:eastAsia="Calibri" w:hAnsi="Calibri" w:cs="Calibri"/>
        </w:rPr>
        <w:t>program</w:t>
      </w:r>
      <w:r>
        <w:rPr>
          <w:rFonts w:ascii="Calibri" w:eastAsia="Calibri" w:hAnsi="Calibri" w:cs="Calibri"/>
        </w:rPr>
        <w:t>s: seven in literacy and one in math. The principal is enrolled in UNCG’s Educational Leadership and Cultural Foundations Ed.D., and the instructional technology consultant is enrolled in the Teacher Education Ph.D. program.</w:t>
      </w:r>
    </w:p>
    <w:p w14:paraId="2770FFC6" w14:textId="77777777" w:rsidR="00CD5563" w:rsidRDefault="00CD5563"/>
    <w:p w14:paraId="08EBFBBA" w14:textId="77777777" w:rsidR="00462C2F" w:rsidRDefault="6129E8DB" w:rsidP="00462C2F">
      <w:pPr>
        <w:spacing w:after="0" w:line="240" w:lineRule="auto"/>
        <w:jc w:val="both"/>
        <w:rPr>
          <w:rFonts w:ascii="Calibri" w:eastAsia="Calibri" w:hAnsi="Calibri" w:cs="Calibri"/>
          <w:b/>
          <w:bCs/>
          <w:i/>
          <w:iCs/>
          <w:sz w:val="24"/>
          <w:szCs w:val="24"/>
        </w:rPr>
      </w:pPr>
      <w:bookmarkStart w:id="18" w:name="_Toc521786853"/>
      <w:r w:rsidRPr="6129E8DB">
        <w:rPr>
          <w:rFonts w:ascii="Calibri" w:eastAsia="Calibri" w:hAnsi="Calibri" w:cs="Calibri"/>
          <w:b/>
          <w:bCs/>
          <w:i/>
          <w:iCs/>
          <w:sz w:val="24"/>
          <w:szCs w:val="24"/>
        </w:rPr>
        <w:lastRenderedPageBreak/>
        <w:t>D.C. Virgo Preparatory Academy</w:t>
      </w:r>
    </w:p>
    <w:p w14:paraId="106A1C28" w14:textId="77777777" w:rsidR="00462C2F" w:rsidRDefault="00462C2F" w:rsidP="00462C2F">
      <w:pPr>
        <w:spacing w:after="0" w:line="240" w:lineRule="auto"/>
        <w:jc w:val="both"/>
        <w:rPr>
          <w:rFonts w:ascii="Calibri" w:eastAsia="Calibri" w:hAnsi="Calibri" w:cs="Calibri"/>
          <w:b/>
          <w:bCs/>
          <w:i/>
          <w:iCs/>
          <w:sz w:val="24"/>
          <w:szCs w:val="24"/>
        </w:rPr>
      </w:pPr>
    </w:p>
    <w:bookmarkEnd w:id="18"/>
    <w:p w14:paraId="6C23DDD3" w14:textId="12723586" w:rsidR="00D34D0B" w:rsidRDefault="00D34D0B" w:rsidP="00462C2F">
      <w:pPr>
        <w:spacing w:after="0" w:line="240" w:lineRule="auto"/>
        <w:jc w:val="both"/>
        <w:rPr>
          <w:rFonts w:ascii="Calibri" w:eastAsia="Calibri" w:hAnsi="Calibri" w:cs="Calibri"/>
        </w:rPr>
      </w:pPr>
      <w:r w:rsidRPr="6129E8DB">
        <w:rPr>
          <w:rFonts w:ascii="Calibri" w:eastAsia="Calibri" w:hAnsi="Calibri" w:cs="Calibri"/>
        </w:rPr>
        <w:t>D.C. Virgo Preparatory Academy (DCVPA) is a K-8 school in Wilmington that occupies a former</w:t>
      </w:r>
      <w:r>
        <w:rPr>
          <w:rFonts w:ascii="Calibri" w:eastAsia="Calibri" w:hAnsi="Calibri" w:cs="Calibri"/>
        </w:rPr>
        <w:t xml:space="preserve"> New Hanover County Schools (NHC</w:t>
      </w:r>
      <w:r w:rsidRPr="6129E8DB">
        <w:rPr>
          <w:rFonts w:ascii="Calibri" w:eastAsia="Calibri" w:hAnsi="Calibri" w:cs="Calibri"/>
        </w:rPr>
        <w:t xml:space="preserve">S) middle school </w:t>
      </w:r>
      <w:r>
        <w:rPr>
          <w:rFonts w:ascii="Calibri" w:eastAsia="Calibri" w:hAnsi="Calibri" w:cs="Calibri"/>
        </w:rPr>
        <w:t xml:space="preserve">that previously served grades 6-8. It is currently the only K-8 school within the district and includes one class per grade level in K-5 and two classes per grade level in 6-8. </w:t>
      </w:r>
      <w:r w:rsidR="00ED5C9F">
        <w:rPr>
          <w:rFonts w:ascii="Calibri" w:eastAsia="Calibri" w:hAnsi="Calibri" w:cs="Calibri"/>
        </w:rPr>
        <w:t>In 2019-20</w:t>
      </w:r>
      <w:r w:rsidR="00B726C7">
        <w:rPr>
          <w:rFonts w:ascii="Calibri" w:eastAsia="Calibri" w:hAnsi="Calibri" w:cs="Calibri"/>
        </w:rPr>
        <w:t>,</w:t>
      </w:r>
      <w:r w:rsidR="00ED5C9F">
        <w:rPr>
          <w:rFonts w:ascii="Calibri" w:eastAsia="Calibri" w:hAnsi="Calibri" w:cs="Calibri"/>
        </w:rPr>
        <w:t xml:space="preserve"> t</w:t>
      </w:r>
      <w:r>
        <w:rPr>
          <w:rFonts w:ascii="Calibri" w:eastAsia="Calibri" w:hAnsi="Calibri" w:cs="Calibri"/>
        </w:rPr>
        <w:t>he laboratory school follow</w:t>
      </w:r>
      <w:r w:rsidR="00ED5C9F">
        <w:rPr>
          <w:rFonts w:ascii="Calibri" w:eastAsia="Calibri" w:hAnsi="Calibri" w:cs="Calibri"/>
        </w:rPr>
        <w:t>ed</w:t>
      </w:r>
      <w:r>
        <w:rPr>
          <w:rFonts w:ascii="Calibri" w:eastAsia="Calibri" w:hAnsi="Calibri" w:cs="Calibri"/>
        </w:rPr>
        <w:t xml:space="preserve"> a year-round calendar, which was previously implemented at the predecessor school. </w:t>
      </w:r>
      <w:r w:rsidR="002D2C02">
        <w:rPr>
          <w:rFonts w:ascii="Calibri" w:eastAsia="Calibri" w:hAnsi="Calibri" w:cs="Calibri"/>
        </w:rPr>
        <w:t>(</w:t>
      </w:r>
      <w:bookmarkStart w:id="19" w:name="_Hlk50473154"/>
      <w:r w:rsidR="002D2C02">
        <w:rPr>
          <w:rFonts w:ascii="Calibri" w:eastAsia="Calibri" w:hAnsi="Calibri" w:cs="Calibri"/>
        </w:rPr>
        <w:t>The school adopted a traditional calendar for the 2020-21 school year as part of its reopening plan during the C</w:t>
      </w:r>
      <w:r w:rsidR="00783002">
        <w:rPr>
          <w:rFonts w:ascii="Calibri" w:eastAsia="Calibri" w:hAnsi="Calibri" w:cs="Calibri"/>
        </w:rPr>
        <w:t>OVID</w:t>
      </w:r>
      <w:r w:rsidR="002D2C02">
        <w:rPr>
          <w:rFonts w:ascii="Calibri" w:eastAsia="Calibri" w:hAnsi="Calibri" w:cs="Calibri"/>
        </w:rPr>
        <w:t>-19 pandemic.</w:t>
      </w:r>
      <w:bookmarkEnd w:id="19"/>
      <w:r w:rsidR="002D2C02">
        <w:rPr>
          <w:rFonts w:ascii="Calibri" w:eastAsia="Calibri" w:hAnsi="Calibri" w:cs="Calibri"/>
        </w:rPr>
        <w:t xml:space="preserve">) </w:t>
      </w:r>
      <w:r>
        <w:rPr>
          <w:rFonts w:ascii="Calibri" w:eastAsia="Calibri" w:hAnsi="Calibri" w:cs="Calibri"/>
        </w:rPr>
        <w:t>The school day runs from 7:30am to 4:30pm, driven in part by transportation services the district provides for the laboratory school. The school uses the 7:30-9:00am timeframe to provide student services before instruction begins at 9:30am.</w:t>
      </w:r>
    </w:p>
    <w:p w14:paraId="3701D1D4" w14:textId="77777777" w:rsidR="00D34D0B" w:rsidRDefault="00D34D0B" w:rsidP="00462C2F">
      <w:pPr>
        <w:spacing w:after="0" w:line="240" w:lineRule="auto"/>
        <w:jc w:val="both"/>
        <w:rPr>
          <w:rFonts w:ascii="Calibri" w:eastAsia="Calibri" w:hAnsi="Calibri" w:cs="Calibri"/>
        </w:rPr>
      </w:pPr>
    </w:p>
    <w:p w14:paraId="5BDB7453" w14:textId="4C276BD8" w:rsidR="00D34D0B" w:rsidRPr="00462C2F" w:rsidRDefault="00D34D0B" w:rsidP="00462C2F">
      <w:pPr>
        <w:spacing w:after="0" w:line="240" w:lineRule="auto"/>
        <w:jc w:val="both"/>
      </w:pPr>
      <w:r>
        <w:t xml:space="preserve">In its second year, the D.C. Virgo Preparatory Academy staff included a principal, an assistant principal, twelve teachers in core content areas, four teacher assistants, two special education educators, and a technology support analyst. A full-time clinical social worker, funded through a partnership with the College of Health and Human Services, provides student support services. Three Faculty-in-Residence supported the school in elementary education instruction, Multi-Tiered Systems of Support (MTSS) implementation, and middle grades curricular planning. Multiple </w:t>
      </w:r>
      <w:proofErr w:type="gramStart"/>
      <w:r>
        <w:t>faculty</w:t>
      </w:r>
      <w:proofErr w:type="gramEnd"/>
      <w:r>
        <w:t xml:space="preserve"> from the COE also regularly supported the professional learning of teachers at DCVPA.</w:t>
      </w:r>
    </w:p>
    <w:p w14:paraId="0D0A8AD8" w14:textId="77777777" w:rsidR="00D34D0B" w:rsidRDefault="00D34D0B" w:rsidP="00462C2F">
      <w:pPr>
        <w:spacing w:after="0" w:line="240" w:lineRule="auto"/>
        <w:jc w:val="both"/>
      </w:pPr>
    </w:p>
    <w:p w14:paraId="687D2927" w14:textId="45844ADA" w:rsidR="00D34D0B" w:rsidRDefault="00D34D0B" w:rsidP="00462C2F">
      <w:pPr>
        <w:spacing w:after="0" w:line="240" w:lineRule="auto"/>
        <w:jc w:val="both"/>
        <w:rPr>
          <w:rFonts w:ascii="Calibri" w:eastAsia="Calibri" w:hAnsi="Calibri" w:cs="Calibri"/>
        </w:rPr>
      </w:pPr>
      <w:r>
        <w:rPr>
          <w:rFonts w:ascii="Calibri" w:eastAsia="Calibri" w:hAnsi="Calibri" w:cs="Calibri"/>
        </w:rPr>
        <w:t>Learning at DCVPA is guided by the acronym PIER, which stands for Personalized, Inquiry-based, Experiential, and Reflective. Teachers at DCVPA use the Rigor-Relevance framework to implement inquiry-based instruction and an experiential learning approach to help students transition from knowledge to application of content. Literacy instruction is based on a framework incorporating evidence-based reading instructional practices—phonics, phonemic awareness, vocabulary, comprehension, and fluency. The school’s model also includes a heavy emphasis on STEM instruction. D</w:t>
      </w:r>
      <w:r w:rsidR="0071017B">
        <w:rPr>
          <w:rFonts w:ascii="Calibri" w:eastAsia="Calibri" w:hAnsi="Calibri" w:cs="Calibri"/>
        </w:rPr>
        <w:t>CVPA</w:t>
      </w:r>
      <w:r>
        <w:rPr>
          <w:rFonts w:ascii="Calibri" w:eastAsia="Calibri" w:hAnsi="Calibri" w:cs="Calibri"/>
        </w:rPr>
        <w:t xml:space="preserve"> is simultaneously focused on addressing the physical health and social-emotional needs of their students. In 2019-20, the school shifted toward restorative practices for behavior management. To support this shift, the school provided professional learning to staff and established a Restoration Committee. DCVPA uses a “kinship model”, whereby everyone in the school community models caring behavior, through teachers mentoring students, older students mentoring younger students, school staff engaging whole families, and the school/community providing essentials to students and families (e.g. food).</w:t>
      </w:r>
    </w:p>
    <w:p w14:paraId="24A0AF36" w14:textId="77777777" w:rsidR="00D34D0B" w:rsidRDefault="00D34D0B" w:rsidP="00462C2F">
      <w:pPr>
        <w:spacing w:after="0" w:line="240" w:lineRule="auto"/>
        <w:jc w:val="both"/>
        <w:rPr>
          <w:rFonts w:ascii="Calibri" w:eastAsia="Calibri" w:hAnsi="Calibri" w:cs="Calibri"/>
        </w:rPr>
      </w:pPr>
    </w:p>
    <w:p w14:paraId="436E6FA0" w14:textId="77777777" w:rsidR="00D34D0B" w:rsidRDefault="00D34D0B" w:rsidP="00462C2F">
      <w:pPr>
        <w:spacing w:after="0" w:line="240" w:lineRule="auto"/>
        <w:jc w:val="both"/>
      </w:pPr>
      <w:r>
        <w:t xml:space="preserve">D.C. Virgo Preparatory Academy incorporates several distinct practices into its laboratory school model, including the use of a working lab in the COE’s Center for Education in Science, Technology, Engineering, and Mathematics (CESTEM), where teachers can take laboratory school students to engage in hands-on, standards-aligned learning experiences. With funding through a partnership with </w:t>
      </w:r>
      <w:proofErr w:type="spellStart"/>
      <w:r>
        <w:t>MedNorth</w:t>
      </w:r>
      <w:proofErr w:type="spellEnd"/>
      <w:r>
        <w:t xml:space="preserve">, a local community health provider, the laboratory school also has an on-site health clinic staffed by a certified family nurse practitioner. Finally, the laboratory school has an on-site “Parent Room” which includes a kitchen, washer/dryer, and meeting space for families. </w:t>
      </w:r>
    </w:p>
    <w:p w14:paraId="7EBD3220" w14:textId="77777777" w:rsidR="00D34D0B" w:rsidRDefault="00D34D0B" w:rsidP="00462C2F">
      <w:pPr>
        <w:spacing w:after="0" w:line="240" w:lineRule="auto"/>
        <w:jc w:val="both"/>
        <w:rPr>
          <w:rFonts w:ascii="Calibri" w:eastAsia="Calibri" w:hAnsi="Calibri" w:cs="Calibri"/>
        </w:rPr>
      </w:pPr>
    </w:p>
    <w:p w14:paraId="3B38F022" w14:textId="1AAAC2C7" w:rsidR="00D34D0B" w:rsidRDefault="00D34D0B" w:rsidP="00462C2F">
      <w:pPr>
        <w:spacing w:after="0" w:line="240" w:lineRule="auto"/>
        <w:jc w:val="both"/>
        <w:sectPr w:rsidR="00D34D0B" w:rsidSect="00380E90">
          <w:pgSz w:w="12240" w:h="15840"/>
          <w:pgMar w:top="1440" w:right="1440" w:bottom="1440" w:left="1440" w:header="720" w:footer="720" w:gutter="0"/>
          <w:cols w:space="720"/>
          <w:docGrid w:linePitch="360"/>
        </w:sectPr>
      </w:pPr>
      <w:r>
        <w:rPr>
          <w:rFonts w:ascii="Calibri" w:eastAsia="Calibri" w:hAnsi="Calibri" w:cs="Calibri"/>
        </w:rPr>
        <w:t>In its second year, D.C. Virgo Preparatory Academy hosted 1</w:t>
      </w:r>
      <w:r w:rsidR="00E77387">
        <w:rPr>
          <w:rFonts w:ascii="Calibri" w:eastAsia="Calibri" w:hAnsi="Calibri" w:cs="Calibri"/>
        </w:rPr>
        <w:t>32</w:t>
      </w:r>
      <w:r>
        <w:rPr>
          <w:rFonts w:ascii="Calibri" w:eastAsia="Calibri" w:hAnsi="Calibri" w:cs="Calibri"/>
        </w:rPr>
        <w:t xml:space="preserve"> pre-service candidates ranging from freshmen to first semester seniors and Masters’ of Instructional Technology (MIT) graduate students in field placements. Because the laboratory school’s year-round schedule does not align with the university schedule, no student teachers were placed at the laboratory school in 2019-20. DCVPA did not have any MSA Principal Fellows </w:t>
      </w:r>
      <w:r w:rsidR="00B63052">
        <w:rPr>
          <w:rFonts w:ascii="Calibri" w:eastAsia="Calibri" w:hAnsi="Calibri" w:cs="Calibri"/>
        </w:rPr>
        <w:t>placed at</w:t>
      </w:r>
      <w:r>
        <w:rPr>
          <w:rFonts w:ascii="Calibri" w:eastAsia="Calibri" w:hAnsi="Calibri" w:cs="Calibri"/>
        </w:rPr>
        <w:t xml:space="preserve"> the school in 2019-2</w:t>
      </w:r>
      <w:r w:rsidR="0071017B">
        <w:rPr>
          <w:rFonts w:ascii="Calibri" w:eastAsia="Calibri" w:hAnsi="Calibri" w:cs="Calibri"/>
        </w:rPr>
        <w:t>0.</w:t>
      </w:r>
    </w:p>
    <w:p w14:paraId="10969539" w14:textId="077D6A69" w:rsidR="6129E8DB" w:rsidRDefault="6129E8DB" w:rsidP="00EA39D6">
      <w:pPr>
        <w:spacing w:after="0" w:line="240" w:lineRule="auto"/>
        <w:jc w:val="both"/>
        <w:rPr>
          <w:rFonts w:ascii="Calibri" w:eastAsia="Calibri" w:hAnsi="Calibri" w:cs="Calibri"/>
          <w:b/>
          <w:bCs/>
          <w:i/>
          <w:iCs/>
          <w:sz w:val="24"/>
          <w:szCs w:val="24"/>
        </w:rPr>
      </w:pPr>
      <w:r w:rsidRPr="6129E8DB">
        <w:rPr>
          <w:rFonts w:ascii="Calibri" w:eastAsia="Calibri" w:hAnsi="Calibri" w:cs="Calibri"/>
          <w:b/>
          <w:bCs/>
          <w:i/>
          <w:iCs/>
          <w:sz w:val="24"/>
          <w:szCs w:val="24"/>
        </w:rPr>
        <w:lastRenderedPageBreak/>
        <w:t>The Catamount School</w:t>
      </w:r>
    </w:p>
    <w:p w14:paraId="7167E8ED" w14:textId="77777777" w:rsidR="000A56F5" w:rsidRDefault="000A56F5" w:rsidP="00EA39D6">
      <w:pPr>
        <w:spacing w:after="0" w:line="240" w:lineRule="auto"/>
        <w:jc w:val="both"/>
      </w:pPr>
    </w:p>
    <w:p w14:paraId="73662457" w14:textId="77777777" w:rsidR="00A34C99" w:rsidRDefault="00A34C99" w:rsidP="00EA39D6">
      <w:pPr>
        <w:spacing w:after="0" w:line="240" w:lineRule="auto"/>
        <w:jc w:val="both"/>
        <w:rPr>
          <w:rFonts w:ascii="Calibri" w:eastAsia="Calibri" w:hAnsi="Calibri" w:cs="Calibri"/>
        </w:rPr>
      </w:pPr>
      <w:r w:rsidRPr="6129E8DB">
        <w:rPr>
          <w:rFonts w:ascii="Calibri" w:eastAsia="Calibri" w:hAnsi="Calibri" w:cs="Calibri"/>
        </w:rPr>
        <w:t>WCU’s laboratory school, The Catamount School, is co-located on the campus of Smoky Mountain High</w:t>
      </w:r>
      <w:r>
        <w:rPr>
          <w:rFonts w:ascii="Calibri" w:eastAsia="Calibri" w:hAnsi="Calibri" w:cs="Calibri"/>
        </w:rPr>
        <w:t xml:space="preserve"> School in Sylva, NC</w:t>
      </w:r>
      <w:r w:rsidRPr="6129E8DB">
        <w:rPr>
          <w:rFonts w:ascii="Calibri" w:eastAsia="Calibri" w:hAnsi="Calibri" w:cs="Calibri"/>
        </w:rPr>
        <w:t xml:space="preserve">. </w:t>
      </w:r>
      <w:r>
        <w:rPr>
          <w:rFonts w:ascii="Calibri" w:eastAsia="Calibri" w:hAnsi="Calibri" w:cs="Calibri"/>
        </w:rPr>
        <w:t xml:space="preserve">The laboratory school occupies one wing of the main high school building. Stemming from its prior work with Jackson County Public Schools (JCPS) to establish freshman academies, WCU opened The Catamount School as a mechanism to support students’ transition to high school. The Catamount School has one classroom, per grade, for grades 6-8. It operates on the JCPS calendar and contracts with the district for certain services. </w:t>
      </w:r>
      <w:r w:rsidRPr="6129E8DB">
        <w:rPr>
          <w:rFonts w:ascii="Calibri" w:eastAsia="Calibri" w:hAnsi="Calibri" w:cs="Calibri"/>
        </w:rPr>
        <w:t>The Catamount School is the only middle school in JCPS, which otherwise includes grades 6-8 in K-8 schools.</w:t>
      </w:r>
    </w:p>
    <w:p w14:paraId="308D07A1" w14:textId="77777777" w:rsidR="00A34C99" w:rsidRDefault="00A34C99" w:rsidP="00EA39D6">
      <w:pPr>
        <w:spacing w:after="0" w:line="240" w:lineRule="auto"/>
        <w:jc w:val="both"/>
      </w:pPr>
    </w:p>
    <w:p w14:paraId="2D6A863A" w14:textId="7B8BA4DB" w:rsidR="00A34C99" w:rsidRDefault="00A34C99" w:rsidP="00EA39D6">
      <w:pPr>
        <w:spacing w:after="0" w:line="240" w:lineRule="auto"/>
        <w:jc w:val="both"/>
        <w:rPr>
          <w:rFonts w:ascii="Calibri" w:eastAsia="Calibri" w:hAnsi="Calibri" w:cs="Calibri"/>
        </w:rPr>
      </w:pPr>
      <w:r>
        <w:rPr>
          <w:rFonts w:ascii="Calibri" w:eastAsia="Calibri" w:hAnsi="Calibri" w:cs="Calibri"/>
        </w:rPr>
        <w:t xml:space="preserve">In its third year, The Catamount School staff included a principal, four core subject-area teachers, an enrichment coordinator who coordinates services and extracurricular activities provided by university and community-based partners, an exceptional children (EC) teacher, a PowerSchool data manager, and a health services coordinator who serves as the school nurse and supervises School of Nursing candidates in practicum experiences. </w:t>
      </w:r>
      <w:r w:rsidRPr="6129E8DB">
        <w:rPr>
          <w:rFonts w:ascii="Calibri" w:eastAsia="Calibri" w:hAnsi="Calibri" w:cs="Calibri"/>
        </w:rPr>
        <w:t xml:space="preserve">A COE faculty member serves as the Instructional Support Liaison and teaches one math class. A WCU Health and Physical Education (HPE) instructor serves as the physical education teacher and coordinates and supervises HPE </w:t>
      </w:r>
      <w:r>
        <w:rPr>
          <w:rFonts w:ascii="Calibri" w:eastAsia="Calibri" w:hAnsi="Calibri" w:cs="Calibri"/>
        </w:rPr>
        <w:t>pre-service</w:t>
      </w:r>
      <w:r w:rsidRPr="6129E8DB">
        <w:rPr>
          <w:rFonts w:ascii="Calibri" w:eastAsia="Calibri" w:hAnsi="Calibri" w:cs="Calibri"/>
        </w:rPr>
        <w:t xml:space="preserve"> candidates. A WCU College of Education faculty member serves as the school’s EC Administrator, but does not carry a teaching load at The Catamount School.</w:t>
      </w:r>
    </w:p>
    <w:p w14:paraId="6AAC37A2" w14:textId="77777777" w:rsidR="00A34C99" w:rsidRDefault="00A34C99" w:rsidP="00EA39D6">
      <w:pPr>
        <w:spacing w:after="0" w:line="240" w:lineRule="auto"/>
        <w:jc w:val="both"/>
      </w:pPr>
      <w:r w:rsidRPr="6129E8DB">
        <w:rPr>
          <w:rFonts w:ascii="Calibri" w:eastAsia="Calibri" w:hAnsi="Calibri" w:cs="Calibri"/>
        </w:rPr>
        <w:t xml:space="preserve"> </w:t>
      </w:r>
    </w:p>
    <w:p w14:paraId="6BDF3683" w14:textId="65C7194E" w:rsidR="00A34C99" w:rsidRDefault="00A34C99" w:rsidP="00EA39D6">
      <w:pPr>
        <w:spacing w:after="0" w:line="240" w:lineRule="auto"/>
        <w:jc w:val="both"/>
        <w:rPr>
          <w:rFonts w:ascii="Calibri" w:eastAsia="Calibri" w:hAnsi="Calibri" w:cs="Calibri"/>
        </w:rPr>
      </w:pPr>
      <w:r>
        <w:rPr>
          <w:rFonts w:ascii="Calibri" w:eastAsia="Calibri" w:hAnsi="Calibri" w:cs="Calibri"/>
        </w:rPr>
        <w:t xml:space="preserve">The Catamount School fosters student growth and </w:t>
      </w:r>
      <w:r w:rsidR="003F17C2">
        <w:rPr>
          <w:rFonts w:ascii="Calibri" w:eastAsia="Calibri" w:hAnsi="Calibri" w:cs="Calibri"/>
        </w:rPr>
        <w:t xml:space="preserve">the </w:t>
      </w:r>
      <w:r>
        <w:rPr>
          <w:rFonts w:ascii="Calibri" w:eastAsia="Calibri" w:hAnsi="Calibri" w:cs="Calibri"/>
        </w:rPr>
        <w:t xml:space="preserve">development of social-emotional skills (particularly resilience) through a problem-centered, experienced-based learning approach in an inclusive education environment. </w:t>
      </w:r>
      <w:r w:rsidRPr="6129E8DB">
        <w:rPr>
          <w:rFonts w:ascii="Calibri" w:eastAsia="Calibri" w:hAnsi="Calibri" w:cs="Calibri"/>
        </w:rPr>
        <w:t xml:space="preserve">Special education services for EC students are provided in their regular classroom using a co-teaching model in which the EC teacher works collaboratively with the lead classroom teacher to deliver individualized content area instruction. Literacy instruction also uses the co-teaching model between the inclusion instructor and lead classroom teacher and is supported by twice weekly one-on-one and small group reading intervention groups with </w:t>
      </w:r>
      <w:r>
        <w:rPr>
          <w:rFonts w:ascii="Calibri" w:eastAsia="Calibri" w:hAnsi="Calibri" w:cs="Calibri"/>
        </w:rPr>
        <w:t>pre-service</w:t>
      </w:r>
      <w:r w:rsidRPr="6129E8DB">
        <w:rPr>
          <w:rFonts w:ascii="Calibri" w:eastAsia="Calibri" w:hAnsi="Calibri" w:cs="Calibri"/>
        </w:rPr>
        <w:t xml:space="preserve"> candidates.</w:t>
      </w:r>
    </w:p>
    <w:p w14:paraId="6D3B38AC" w14:textId="77777777" w:rsidR="00A34C99" w:rsidRDefault="00A34C99" w:rsidP="00EA39D6">
      <w:pPr>
        <w:spacing w:after="0" w:line="240" w:lineRule="auto"/>
        <w:jc w:val="both"/>
      </w:pPr>
    </w:p>
    <w:p w14:paraId="13FA0CB5" w14:textId="5A422B14" w:rsidR="00A34C99" w:rsidRDefault="00A34C99" w:rsidP="00EA39D6">
      <w:pPr>
        <w:spacing w:after="0" w:line="240" w:lineRule="auto"/>
        <w:jc w:val="both"/>
        <w:rPr>
          <w:rFonts w:ascii="Calibri" w:eastAsia="Calibri" w:hAnsi="Calibri" w:cs="Calibri"/>
        </w:rPr>
      </w:pPr>
      <w:r>
        <w:rPr>
          <w:rFonts w:ascii="Calibri" w:eastAsia="Calibri" w:hAnsi="Calibri" w:cs="Calibri"/>
        </w:rPr>
        <w:t>More than 100 pre-service teacher candidates had formal clinical experiences at The Catamount School in the 2019-20 school year, including pre-service candidates in middle grades, health and physical education, and inclusive education programs (dual program in elementary and special education). In addition, pre-service candidates from other WCU programs had clinical experiences at The Catamount School, including students in art education, school counseling, school psychology, clinical psychology, and speech-language pathology. WCU placed one MSA candidate at The Catamount School in 2019-20.</w:t>
      </w:r>
    </w:p>
    <w:p w14:paraId="7AC636B8" w14:textId="77777777" w:rsidR="00A34C99" w:rsidRDefault="00A34C99" w:rsidP="00EA39D6">
      <w:pPr>
        <w:spacing w:after="0" w:line="240" w:lineRule="auto"/>
        <w:jc w:val="both"/>
        <w:rPr>
          <w:rFonts w:ascii="Calibri" w:eastAsia="Calibri" w:hAnsi="Calibri" w:cs="Calibri"/>
        </w:rPr>
      </w:pPr>
    </w:p>
    <w:p w14:paraId="212E2F2D" w14:textId="77777777" w:rsidR="00A34C99" w:rsidRDefault="00A34C99" w:rsidP="00C83B5A">
      <w:pPr>
        <w:spacing w:after="0" w:line="240" w:lineRule="auto"/>
        <w:jc w:val="both"/>
      </w:pPr>
      <w:r w:rsidRPr="6129E8DB">
        <w:rPr>
          <w:rFonts w:ascii="Calibri" w:eastAsia="Calibri" w:hAnsi="Calibri" w:cs="Calibri"/>
        </w:rPr>
        <w:t>Some distinct practices The Catamount School incorporates into its laboratory school model include</w:t>
      </w:r>
      <w:r>
        <w:rPr>
          <w:rFonts w:ascii="Calibri" w:eastAsia="Calibri" w:hAnsi="Calibri" w:cs="Calibri"/>
        </w:rPr>
        <w:t xml:space="preserve"> the Community of Care team—COE faculty, laboratory school staff, and university partners who monitor the provision of services that support students’ well-being; the addition of a school nurse who has improved the services to both TCS students and the undergraduate nursing students at the school; the use of PBIS to create and hold students and teachers accountable to behavioral expectations; a multi-tiered system of support model to comprehensively address student academic and social-emotional growth goals; and the use of standards-based grading, which allows teachers, students, and parents to assess individual progression to content mastery. </w:t>
      </w:r>
    </w:p>
    <w:p w14:paraId="090E105E" w14:textId="03D48E6B" w:rsidR="00CA05E0" w:rsidRDefault="00CA05E0" w:rsidP="00EA39D6">
      <w:pPr>
        <w:spacing w:after="0" w:line="240" w:lineRule="auto"/>
        <w:jc w:val="both"/>
        <w:rPr>
          <w:rFonts w:ascii="Calibri" w:eastAsia="Calibri" w:hAnsi="Calibri" w:cs="Calibri"/>
        </w:rPr>
      </w:pPr>
    </w:p>
    <w:p w14:paraId="0C6853C6" w14:textId="0389B88A" w:rsidR="00A34C99" w:rsidRDefault="00A34C99" w:rsidP="00EA39D6">
      <w:pPr>
        <w:spacing w:after="0" w:line="240" w:lineRule="auto"/>
        <w:jc w:val="both"/>
        <w:rPr>
          <w:rFonts w:ascii="Calibri" w:eastAsia="Calibri" w:hAnsi="Calibri" w:cs="Calibri"/>
        </w:rPr>
      </w:pPr>
    </w:p>
    <w:p w14:paraId="55792D05" w14:textId="24C0FD13" w:rsidR="003F17C2" w:rsidRDefault="003F17C2" w:rsidP="00EA39D6">
      <w:pPr>
        <w:spacing w:after="0" w:line="240" w:lineRule="auto"/>
        <w:jc w:val="both"/>
        <w:rPr>
          <w:rFonts w:ascii="Calibri" w:eastAsia="Calibri" w:hAnsi="Calibri" w:cs="Calibri"/>
        </w:rPr>
      </w:pPr>
    </w:p>
    <w:p w14:paraId="1AB976BB" w14:textId="77777777" w:rsidR="003F17C2" w:rsidRDefault="003F17C2" w:rsidP="00EA39D6">
      <w:pPr>
        <w:spacing w:after="0" w:line="240" w:lineRule="auto"/>
        <w:jc w:val="both"/>
        <w:rPr>
          <w:rFonts w:ascii="Calibri" w:eastAsia="Calibri" w:hAnsi="Calibri" w:cs="Calibri"/>
        </w:rPr>
      </w:pPr>
    </w:p>
    <w:p w14:paraId="2F80C4D3" w14:textId="77777777" w:rsidR="00A57C1F" w:rsidRDefault="00A57C1F" w:rsidP="00EA39D6">
      <w:pPr>
        <w:spacing w:after="0" w:line="240" w:lineRule="auto"/>
        <w:jc w:val="both"/>
        <w:rPr>
          <w:rFonts w:ascii="Calibri" w:eastAsia="Calibri" w:hAnsi="Calibri" w:cs="Calibri"/>
        </w:rPr>
      </w:pPr>
    </w:p>
    <w:p w14:paraId="11CEB9ED" w14:textId="70116D95" w:rsidR="004A191B" w:rsidRDefault="004A191B" w:rsidP="004A191B">
      <w:pPr>
        <w:pStyle w:val="Heading1"/>
        <w:spacing w:before="0" w:after="0" w:line="240" w:lineRule="auto"/>
        <w:rPr>
          <w:rFonts w:asciiTheme="minorHAnsi" w:hAnsiTheme="minorHAnsi" w:cstheme="minorHAnsi"/>
          <w:color w:val="auto"/>
        </w:rPr>
      </w:pPr>
      <w:bookmarkStart w:id="20" w:name="_Toc521786854"/>
      <w:r w:rsidRPr="00DF20F3">
        <w:rPr>
          <w:rFonts w:asciiTheme="minorHAnsi" w:hAnsiTheme="minorHAnsi" w:cstheme="minorHAnsi"/>
          <w:color w:val="auto"/>
        </w:rPr>
        <w:lastRenderedPageBreak/>
        <w:t xml:space="preserve">Appendix </w:t>
      </w:r>
      <w:r>
        <w:rPr>
          <w:rFonts w:asciiTheme="minorHAnsi" w:hAnsiTheme="minorHAnsi" w:cstheme="minorHAnsi"/>
          <w:color w:val="auto"/>
        </w:rPr>
        <w:t>A5:  Additional Student Achievement Data (</w:t>
      </w:r>
      <w:r w:rsidR="008144E8">
        <w:rPr>
          <w:rFonts w:asciiTheme="minorHAnsi" w:hAnsiTheme="minorHAnsi" w:cstheme="minorHAnsi"/>
          <w:color w:val="auto"/>
        </w:rPr>
        <w:t>2018</w:t>
      </w:r>
      <w:r>
        <w:rPr>
          <w:rFonts w:asciiTheme="minorHAnsi" w:hAnsiTheme="minorHAnsi" w:cstheme="minorHAnsi"/>
          <w:color w:val="auto"/>
        </w:rPr>
        <w:t>-1</w:t>
      </w:r>
      <w:r w:rsidR="008144E8">
        <w:rPr>
          <w:rFonts w:asciiTheme="minorHAnsi" w:hAnsiTheme="minorHAnsi" w:cstheme="minorHAnsi"/>
          <w:color w:val="auto"/>
        </w:rPr>
        <w:t>9</w:t>
      </w:r>
      <w:r>
        <w:rPr>
          <w:rFonts w:asciiTheme="minorHAnsi" w:hAnsiTheme="minorHAnsi" w:cstheme="minorHAnsi"/>
          <w:color w:val="auto"/>
        </w:rPr>
        <w:t xml:space="preserve"> School Year)</w:t>
      </w:r>
    </w:p>
    <w:p w14:paraId="42BF78B7" w14:textId="77777777" w:rsidR="004A191B" w:rsidRDefault="004A191B" w:rsidP="004A191B">
      <w:pPr>
        <w:spacing w:after="0" w:line="240" w:lineRule="auto"/>
        <w:rPr>
          <w:i/>
        </w:rPr>
      </w:pPr>
    </w:p>
    <w:p w14:paraId="01F25A75" w14:textId="737EB91A" w:rsidR="00CF7329" w:rsidRDefault="00CF7329" w:rsidP="00CF7329">
      <w:pPr>
        <w:spacing w:after="0" w:line="240" w:lineRule="auto"/>
        <w:rPr>
          <w:i/>
        </w:rPr>
      </w:pPr>
      <w:r>
        <w:rPr>
          <w:i/>
        </w:rPr>
        <w:t>Appendix Table A5.1:  2018-19 Test Score Data for the Appalachian Academy at Middle Fork and Other, Same-Grade Students in Winston-Salem Forsyth County Schools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85"/>
        <w:gridCol w:w="955"/>
        <w:gridCol w:w="1870"/>
        <w:gridCol w:w="1870"/>
        <w:gridCol w:w="1870"/>
      </w:tblGrid>
      <w:tr w:rsidR="00CF7329" w14:paraId="5DB75CF0" w14:textId="77777777" w:rsidTr="000C2FB1">
        <w:tc>
          <w:tcPr>
            <w:tcW w:w="2785" w:type="dxa"/>
            <w:shd w:val="clear" w:color="auto" w:fill="F2F2F2" w:themeFill="background1" w:themeFillShade="F2"/>
            <w:vAlign w:val="center"/>
          </w:tcPr>
          <w:p w14:paraId="4984FDF0" w14:textId="77777777" w:rsidR="00CF7329" w:rsidRPr="00A80F8F" w:rsidRDefault="00CF7329" w:rsidP="000C2FB1">
            <w:pPr>
              <w:jc w:val="center"/>
              <w:rPr>
                <w:sz w:val="18"/>
              </w:rPr>
            </w:pPr>
            <w:r>
              <w:rPr>
                <w:sz w:val="18"/>
              </w:rPr>
              <w:t>Test</w:t>
            </w:r>
          </w:p>
        </w:tc>
        <w:tc>
          <w:tcPr>
            <w:tcW w:w="955" w:type="dxa"/>
            <w:shd w:val="clear" w:color="auto" w:fill="F2F2F2" w:themeFill="background1" w:themeFillShade="F2"/>
            <w:vAlign w:val="center"/>
          </w:tcPr>
          <w:p w14:paraId="0E0ECC51" w14:textId="77777777" w:rsidR="00CF7329" w:rsidRPr="00A80F8F" w:rsidRDefault="00CF7329" w:rsidP="000C2FB1">
            <w:pPr>
              <w:jc w:val="center"/>
              <w:rPr>
                <w:sz w:val="18"/>
              </w:rPr>
            </w:pPr>
            <w:r>
              <w:rPr>
                <w:sz w:val="18"/>
              </w:rPr>
              <w:t>Student Count</w:t>
            </w:r>
          </w:p>
        </w:tc>
        <w:tc>
          <w:tcPr>
            <w:tcW w:w="1870" w:type="dxa"/>
            <w:shd w:val="clear" w:color="auto" w:fill="F2F2F2" w:themeFill="background1" w:themeFillShade="F2"/>
            <w:vAlign w:val="center"/>
          </w:tcPr>
          <w:p w14:paraId="68C0E7A9" w14:textId="77777777" w:rsidR="00CF7329" w:rsidRPr="00A80F8F" w:rsidRDefault="00CF7329" w:rsidP="000C2FB1">
            <w:pPr>
              <w:jc w:val="center"/>
              <w:rPr>
                <w:sz w:val="18"/>
              </w:rPr>
            </w:pPr>
            <w:r>
              <w:rPr>
                <w:sz w:val="18"/>
              </w:rPr>
              <w:t>Average Test Score</w:t>
            </w:r>
          </w:p>
        </w:tc>
        <w:tc>
          <w:tcPr>
            <w:tcW w:w="1870" w:type="dxa"/>
            <w:shd w:val="clear" w:color="auto" w:fill="F2F2F2" w:themeFill="background1" w:themeFillShade="F2"/>
            <w:vAlign w:val="center"/>
          </w:tcPr>
          <w:p w14:paraId="4B842CFD" w14:textId="77777777" w:rsidR="00CF7329" w:rsidRPr="00A80F8F" w:rsidRDefault="00CF7329" w:rsidP="000C2FB1">
            <w:pPr>
              <w:jc w:val="center"/>
              <w:rPr>
                <w:sz w:val="18"/>
              </w:rPr>
            </w:pPr>
            <w:r>
              <w:rPr>
                <w:sz w:val="18"/>
              </w:rPr>
              <w:t>Percent Below Proficient</w:t>
            </w:r>
          </w:p>
        </w:tc>
        <w:tc>
          <w:tcPr>
            <w:tcW w:w="1870" w:type="dxa"/>
            <w:shd w:val="clear" w:color="auto" w:fill="F2F2F2" w:themeFill="background1" w:themeFillShade="F2"/>
            <w:vAlign w:val="center"/>
          </w:tcPr>
          <w:p w14:paraId="28BEC3A6" w14:textId="77777777" w:rsidR="00CF7329" w:rsidRDefault="00CF7329" w:rsidP="000C2FB1">
            <w:pPr>
              <w:jc w:val="center"/>
              <w:rPr>
                <w:sz w:val="18"/>
              </w:rPr>
            </w:pPr>
            <w:r>
              <w:rPr>
                <w:sz w:val="18"/>
              </w:rPr>
              <w:t xml:space="preserve">Percent Proficient </w:t>
            </w:r>
          </w:p>
          <w:p w14:paraId="396473B3" w14:textId="77777777" w:rsidR="00CF7329" w:rsidRPr="00A80F8F" w:rsidRDefault="00CF7329" w:rsidP="000C2FB1">
            <w:pPr>
              <w:jc w:val="center"/>
              <w:rPr>
                <w:sz w:val="18"/>
              </w:rPr>
            </w:pPr>
            <w:r>
              <w:rPr>
                <w:sz w:val="18"/>
              </w:rPr>
              <w:t>or Above</w:t>
            </w:r>
          </w:p>
        </w:tc>
      </w:tr>
      <w:tr w:rsidR="00CF7329" w14:paraId="53E0D9A2" w14:textId="77777777" w:rsidTr="000C2FB1">
        <w:tc>
          <w:tcPr>
            <w:tcW w:w="9350" w:type="dxa"/>
            <w:gridSpan w:val="5"/>
            <w:vAlign w:val="center"/>
          </w:tcPr>
          <w:p w14:paraId="5E7544E4" w14:textId="77777777" w:rsidR="00CF7329" w:rsidRPr="00A80F8F" w:rsidRDefault="00CF7329" w:rsidP="000C2FB1">
            <w:pPr>
              <w:jc w:val="center"/>
              <w:rPr>
                <w:i/>
                <w:sz w:val="18"/>
              </w:rPr>
            </w:pPr>
            <w:r>
              <w:rPr>
                <w:i/>
                <w:sz w:val="18"/>
              </w:rPr>
              <w:t>Appalachian Academy at Middle Fork</w:t>
            </w:r>
          </w:p>
        </w:tc>
      </w:tr>
      <w:tr w:rsidR="00CF7329" w14:paraId="369D951C" w14:textId="77777777" w:rsidTr="000C2FB1">
        <w:tc>
          <w:tcPr>
            <w:tcW w:w="2785" w:type="dxa"/>
            <w:vAlign w:val="center"/>
          </w:tcPr>
          <w:p w14:paraId="740A10E3" w14:textId="77777777" w:rsidR="00CF7329" w:rsidRPr="00A80F8F" w:rsidRDefault="00CF7329" w:rsidP="000C2FB1">
            <w:pPr>
              <w:jc w:val="right"/>
              <w:rPr>
                <w:sz w:val="18"/>
              </w:rPr>
            </w:pPr>
            <w:r>
              <w:rPr>
                <w:sz w:val="18"/>
              </w:rPr>
              <w:t xml:space="preserve"> 3</w:t>
            </w:r>
            <w:r w:rsidRPr="00A80F8F">
              <w:rPr>
                <w:sz w:val="18"/>
                <w:vertAlign w:val="superscript"/>
              </w:rPr>
              <w:t>rd</w:t>
            </w:r>
            <w:r>
              <w:rPr>
                <w:sz w:val="18"/>
              </w:rPr>
              <w:t xml:space="preserve"> Grade Reading</w:t>
            </w:r>
          </w:p>
        </w:tc>
        <w:tc>
          <w:tcPr>
            <w:tcW w:w="955" w:type="dxa"/>
            <w:vAlign w:val="center"/>
          </w:tcPr>
          <w:p w14:paraId="4136CA07" w14:textId="77777777" w:rsidR="00CF7329" w:rsidRPr="00A80F8F" w:rsidRDefault="00CF7329" w:rsidP="000C2FB1">
            <w:pPr>
              <w:jc w:val="center"/>
              <w:rPr>
                <w:sz w:val="18"/>
                <w:szCs w:val="18"/>
              </w:rPr>
            </w:pPr>
            <w:r>
              <w:rPr>
                <w:sz w:val="18"/>
                <w:szCs w:val="18"/>
              </w:rPr>
              <w:t>49</w:t>
            </w:r>
          </w:p>
        </w:tc>
        <w:tc>
          <w:tcPr>
            <w:tcW w:w="1870" w:type="dxa"/>
            <w:vAlign w:val="center"/>
          </w:tcPr>
          <w:p w14:paraId="6DF1483B" w14:textId="77777777" w:rsidR="00CF7329" w:rsidRPr="00A80F8F" w:rsidRDefault="00CF7329" w:rsidP="000C2FB1">
            <w:pPr>
              <w:jc w:val="center"/>
              <w:rPr>
                <w:sz w:val="18"/>
                <w:szCs w:val="18"/>
              </w:rPr>
            </w:pPr>
            <w:r>
              <w:rPr>
                <w:sz w:val="18"/>
                <w:szCs w:val="18"/>
              </w:rPr>
              <w:t>432.49</w:t>
            </w:r>
          </w:p>
        </w:tc>
        <w:tc>
          <w:tcPr>
            <w:tcW w:w="1870" w:type="dxa"/>
            <w:vAlign w:val="center"/>
          </w:tcPr>
          <w:p w14:paraId="5C6CE988" w14:textId="77777777" w:rsidR="00CF7329" w:rsidRPr="00A80F8F" w:rsidRDefault="00CF7329" w:rsidP="000C2FB1">
            <w:pPr>
              <w:jc w:val="center"/>
              <w:rPr>
                <w:sz w:val="18"/>
                <w:szCs w:val="18"/>
              </w:rPr>
            </w:pPr>
            <w:r>
              <w:rPr>
                <w:sz w:val="18"/>
                <w:szCs w:val="18"/>
              </w:rPr>
              <w:t>67.35</w:t>
            </w:r>
          </w:p>
        </w:tc>
        <w:tc>
          <w:tcPr>
            <w:tcW w:w="1870" w:type="dxa"/>
            <w:vAlign w:val="center"/>
          </w:tcPr>
          <w:p w14:paraId="5947E809" w14:textId="77777777" w:rsidR="00CF7329" w:rsidRPr="00A80F8F" w:rsidRDefault="00CF7329" w:rsidP="000C2FB1">
            <w:pPr>
              <w:jc w:val="center"/>
              <w:rPr>
                <w:sz w:val="18"/>
                <w:szCs w:val="18"/>
              </w:rPr>
            </w:pPr>
            <w:r>
              <w:rPr>
                <w:sz w:val="18"/>
                <w:szCs w:val="18"/>
              </w:rPr>
              <w:t>32.65</w:t>
            </w:r>
          </w:p>
        </w:tc>
      </w:tr>
      <w:tr w:rsidR="00CF7329" w14:paraId="0FE74394" w14:textId="77777777" w:rsidTr="000C2FB1">
        <w:tc>
          <w:tcPr>
            <w:tcW w:w="2785" w:type="dxa"/>
            <w:vAlign w:val="center"/>
          </w:tcPr>
          <w:p w14:paraId="566E25F7" w14:textId="77777777" w:rsidR="00CF7329" w:rsidRPr="00A80F8F" w:rsidRDefault="00CF7329" w:rsidP="000C2FB1">
            <w:pPr>
              <w:jc w:val="right"/>
              <w:rPr>
                <w:sz w:val="18"/>
              </w:rPr>
            </w:pPr>
            <w:r>
              <w:rPr>
                <w:sz w:val="18"/>
              </w:rPr>
              <w:t>4</w:t>
            </w:r>
            <w:r w:rsidRPr="00A80F8F">
              <w:rPr>
                <w:sz w:val="18"/>
                <w:vertAlign w:val="superscript"/>
              </w:rPr>
              <w:t>th</w:t>
            </w:r>
            <w:r>
              <w:rPr>
                <w:sz w:val="18"/>
              </w:rPr>
              <w:t xml:space="preserve"> Grade Reading</w:t>
            </w:r>
          </w:p>
        </w:tc>
        <w:tc>
          <w:tcPr>
            <w:tcW w:w="955" w:type="dxa"/>
            <w:vAlign w:val="center"/>
          </w:tcPr>
          <w:p w14:paraId="5AB369EB" w14:textId="77777777" w:rsidR="00CF7329" w:rsidRPr="00A80F8F" w:rsidRDefault="00CF7329" w:rsidP="000C2FB1">
            <w:pPr>
              <w:jc w:val="center"/>
              <w:rPr>
                <w:sz w:val="18"/>
                <w:szCs w:val="18"/>
              </w:rPr>
            </w:pPr>
            <w:r>
              <w:rPr>
                <w:sz w:val="18"/>
                <w:szCs w:val="18"/>
              </w:rPr>
              <w:t>46</w:t>
            </w:r>
          </w:p>
        </w:tc>
        <w:tc>
          <w:tcPr>
            <w:tcW w:w="1870" w:type="dxa"/>
            <w:vAlign w:val="center"/>
          </w:tcPr>
          <w:p w14:paraId="2FF33982" w14:textId="77777777" w:rsidR="00CF7329" w:rsidRPr="00A80F8F" w:rsidRDefault="00CF7329" w:rsidP="000C2FB1">
            <w:pPr>
              <w:jc w:val="center"/>
              <w:rPr>
                <w:sz w:val="18"/>
                <w:szCs w:val="18"/>
              </w:rPr>
            </w:pPr>
            <w:r>
              <w:rPr>
                <w:sz w:val="18"/>
                <w:szCs w:val="18"/>
              </w:rPr>
              <w:t>437.89</w:t>
            </w:r>
          </w:p>
        </w:tc>
        <w:tc>
          <w:tcPr>
            <w:tcW w:w="1870" w:type="dxa"/>
            <w:vAlign w:val="center"/>
          </w:tcPr>
          <w:p w14:paraId="20F2019A" w14:textId="77777777" w:rsidR="00CF7329" w:rsidRPr="00A80F8F" w:rsidRDefault="00CF7329" w:rsidP="000C2FB1">
            <w:pPr>
              <w:jc w:val="center"/>
              <w:rPr>
                <w:sz w:val="18"/>
                <w:szCs w:val="18"/>
              </w:rPr>
            </w:pPr>
            <w:r>
              <w:rPr>
                <w:sz w:val="18"/>
                <w:szCs w:val="18"/>
              </w:rPr>
              <w:t>69.57</w:t>
            </w:r>
          </w:p>
        </w:tc>
        <w:tc>
          <w:tcPr>
            <w:tcW w:w="1870" w:type="dxa"/>
            <w:vAlign w:val="center"/>
          </w:tcPr>
          <w:p w14:paraId="7F342E75" w14:textId="77777777" w:rsidR="00CF7329" w:rsidRPr="00A80F8F" w:rsidRDefault="00CF7329" w:rsidP="000C2FB1">
            <w:pPr>
              <w:jc w:val="center"/>
              <w:rPr>
                <w:sz w:val="18"/>
                <w:szCs w:val="18"/>
              </w:rPr>
            </w:pPr>
            <w:r>
              <w:rPr>
                <w:sz w:val="18"/>
                <w:szCs w:val="18"/>
              </w:rPr>
              <w:t>30.43</w:t>
            </w:r>
          </w:p>
        </w:tc>
      </w:tr>
      <w:tr w:rsidR="00CF7329" w14:paraId="2CA9020A" w14:textId="77777777" w:rsidTr="000C2FB1">
        <w:tc>
          <w:tcPr>
            <w:tcW w:w="2785" w:type="dxa"/>
            <w:vAlign w:val="center"/>
          </w:tcPr>
          <w:p w14:paraId="36184F05" w14:textId="77777777" w:rsidR="00CF7329" w:rsidRDefault="00CF7329" w:rsidP="000C2FB1">
            <w:pPr>
              <w:jc w:val="right"/>
              <w:rPr>
                <w:sz w:val="18"/>
              </w:rPr>
            </w:pPr>
            <w:r>
              <w:rPr>
                <w:sz w:val="18"/>
              </w:rPr>
              <w:t>5</w:t>
            </w:r>
            <w:r w:rsidRPr="000F1F8B">
              <w:rPr>
                <w:sz w:val="18"/>
                <w:vertAlign w:val="superscript"/>
              </w:rPr>
              <w:t>th</w:t>
            </w:r>
            <w:r>
              <w:rPr>
                <w:sz w:val="18"/>
              </w:rPr>
              <w:t xml:space="preserve"> Grade Reading</w:t>
            </w:r>
          </w:p>
        </w:tc>
        <w:tc>
          <w:tcPr>
            <w:tcW w:w="955" w:type="dxa"/>
            <w:vAlign w:val="center"/>
          </w:tcPr>
          <w:p w14:paraId="5D9C4CE1" w14:textId="77777777" w:rsidR="00CF7329" w:rsidRDefault="00CF7329" w:rsidP="000C2FB1">
            <w:pPr>
              <w:jc w:val="center"/>
              <w:rPr>
                <w:sz w:val="18"/>
                <w:szCs w:val="18"/>
              </w:rPr>
            </w:pPr>
            <w:r>
              <w:rPr>
                <w:sz w:val="18"/>
                <w:szCs w:val="18"/>
              </w:rPr>
              <w:t>48</w:t>
            </w:r>
          </w:p>
        </w:tc>
        <w:tc>
          <w:tcPr>
            <w:tcW w:w="1870" w:type="dxa"/>
            <w:vAlign w:val="center"/>
          </w:tcPr>
          <w:p w14:paraId="503E3A50" w14:textId="77777777" w:rsidR="00CF7329" w:rsidRDefault="00CF7329" w:rsidP="000C2FB1">
            <w:pPr>
              <w:jc w:val="center"/>
              <w:rPr>
                <w:sz w:val="18"/>
                <w:szCs w:val="18"/>
              </w:rPr>
            </w:pPr>
            <w:r>
              <w:rPr>
                <w:sz w:val="18"/>
                <w:szCs w:val="18"/>
              </w:rPr>
              <w:t>441.19</w:t>
            </w:r>
          </w:p>
        </w:tc>
        <w:tc>
          <w:tcPr>
            <w:tcW w:w="1870" w:type="dxa"/>
            <w:vAlign w:val="center"/>
          </w:tcPr>
          <w:p w14:paraId="7E500273" w14:textId="77777777" w:rsidR="00CF7329" w:rsidRDefault="00CF7329" w:rsidP="000C2FB1">
            <w:pPr>
              <w:jc w:val="center"/>
              <w:rPr>
                <w:sz w:val="18"/>
                <w:szCs w:val="18"/>
              </w:rPr>
            </w:pPr>
            <w:r>
              <w:rPr>
                <w:sz w:val="18"/>
                <w:szCs w:val="18"/>
              </w:rPr>
              <w:t>79.17</w:t>
            </w:r>
          </w:p>
        </w:tc>
        <w:tc>
          <w:tcPr>
            <w:tcW w:w="1870" w:type="dxa"/>
            <w:vAlign w:val="center"/>
          </w:tcPr>
          <w:p w14:paraId="5E7AEB7D" w14:textId="77777777" w:rsidR="00CF7329" w:rsidRDefault="00CF7329" w:rsidP="000C2FB1">
            <w:pPr>
              <w:jc w:val="center"/>
              <w:rPr>
                <w:sz w:val="18"/>
                <w:szCs w:val="18"/>
              </w:rPr>
            </w:pPr>
            <w:r>
              <w:rPr>
                <w:sz w:val="18"/>
                <w:szCs w:val="18"/>
              </w:rPr>
              <w:t>20.83</w:t>
            </w:r>
          </w:p>
        </w:tc>
      </w:tr>
      <w:tr w:rsidR="00CF7329" w14:paraId="2AF0FF11" w14:textId="77777777" w:rsidTr="000C2FB1">
        <w:tc>
          <w:tcPr>
            <w:tcW w:w="2785" w:type="dxa"/>
            <w:vAlign w:val="center"/>
          </w:tcPr>
          <w:p w14:paraId="6ABFF520" w14:textId="77777777" w:rsidR="00CF7329" w:rsidRPr="00A80F8F" w:rsidRDefault="00CF7329" w:rsidP="000C2FB1">
            <w:pPr>
              <w:jc w:val="right"/>
              <w:rPr>
                <w:sz w:val="18"/>
              </w:rPr>
            </w:pPr>
            <w:r>
              <w:rPr>
                <w:sz w:val="18"/>
              </w:rPr>
              <w:t>3</w:t>
            </w:r>
            <w:r w:rsidRPr="00A80F8F">
              <w:rPr>
                <w:sz w:val="18"/>
                <w:vertAlign w:val="superscript"/>
              </w:rPr>
              <w:t>rd</w:t>
            </w:r>
            <w:r>
              <w:rPr>
                <w:sz w:val="18"/>
              </w:rPr>
              <w:t xml:space="preserve"> Grade Math</w:t>
            </w:r>
          </w:p>
        </w:tc>
        <w:tc>
          <w:tcPr>
            <w:tcW w:w="955" w:type="dxa"/>
            <w:vAlign w:val="center"/>
          </w:tcPr>
          <w:p w14:paraId="612BAF01" w14:textId="77777777" w:rsidR="00CF7329" w:rsidRPr="00A80F8F" w:rsidRDefault="00CF7329" w:rsidP="000C2FB1">
            <w:pPr>
              <w:jc w:val="center"/>
              <w:rPr>
                <w:sz w:val="18"/>
                <w:szCs w:val="18"/>
              </w:rPr>
            </w:pPr>
            <w:r>
              <w:rPr>
                <w:sz w:val="18"/>
                <w:szCs w:val="18"/>
              </w:rPr>
              <w:t>49</w:t>
            </w:r>
          </w:p>
        </w:tc>
        <w:tc>
          <w:tcPr>
            <w:tcW w:w="1870" w:type="dxa"/>
            <w:vAlign w:val="center"/>
          </w:tcPr>
          <w:p w14:paraId="63E5A628" w14:textId="77777777" w:rsidR="00CF7329" w:rsidRPr="00A80F8F" w:rsidRDefault="00CF7329" w:rsidP="000C2FB1">
            <w:pPr>
              <w:jc w:val="center"/>
              <w:rPr>
                <w:sz w:val="18"/>
                <w:szCs w:val="18"/>
              </w:rPr>
            </w:pPr>
            <w:r>
              <w:rPr>
                <w:sz w:val="18"/>
                <w:szCs w:val="18"/>
              </w:rPr>
              <w:t>540.78</w:t>
            </w:r>
          </w:p>
        </w:tc>
        <w:tc>
          <w:tcPr>
            <w:tcW w:w="1870" w:type="dxa"/>
            <w:vAlign w:val="center"/>
          </w:tcPr>
          <w:p w14:paraId="7C2442D7" w14:textId="77777777" w:rsidR="00CF7329" w:rsidRPr="00A80F8F" w:rsidRDefault="00CF7329" w:rsidP="000C2FB1">
            <w:pPr>
              <w:jc w:val="center"/>
              <w:rPr>
                <w:sz w:val="18"/>
                <w:szCs w:val="18"/>
              </w:rPr>
            </w:pPr>
            <w:r>
              <w:rPr>
                <w:sz w:val="18"/>
                <w:szCs w:val="18"/>
              </w:rPr>
              <w:t>71.43</w:t>
            </w:r>
          </w:p>
        </w:tc>
        <w:tc>
          <w:tcPr>
            <w:tcW w:w="1870" w:type="dxa"/>
            <w:vAlign w:val="center"/>
          </w:tcPr>
          <w:p w14:paraId="16252B0B" w14:textId="77777777" w:rsidR="00CF7329" w:rsidRPr="00A80F8F" w:rsidRDefault="00CF7329" w:rsidP="000C2FB1">
            <w:pPr>
              <w:jc w:val="center"/>
              <w:rPr>
                <w:sz w:val="18"/>
                <w:szCs w:val="18"/>
              </w:rPr>
            </w:pPr>
            <w:r>
              <w:rPr>
                <w:sz w:val="18"/>
                <w:szCs w:val="18"/>
              </w:rPr>
              <w:t>28.57</w:t>
            </w:r>
          </w:p>
        </w:tc>
      </w:tr>
      <w:tr w:rsidR="00CF7329" w14:paraId="7C88F9DB" w14:textId="77777777" w:rsidTr="000C2FB1">
        <w:tc>
          <w:tcPr>
            <w:tcW w:w="2785" w:type="dxa"/>
            <w:vAlign w:val="center"/>
          </w:tcPr>
          <w:p w14:paraId="7A76003F" w14:textId="77777777" w:rsidR="00CF7329" w:rsidRPr="00A80F8F" w:rsidRDefault="00CF7329" w:rsidP="000C2FB1">
            <w:pPr>
              <w:jc w:val="right"/>
              <w:rPr>
                <w:sz w:val="18"/>
              </w:rPr>
            </w:pPr>
            <w:r>
              <w:rPr>
                <w:sz w:val="18"/>
              </w:rPr>
              <w:t>4</w:t>
            </w:r>
            <w:r w:rsidRPr="00A80F8F">
              <w:rPr>
                <w:sz w:val="18"/>
                <w:vertAlign w:val="superscript"/>
              </w:rPr>
              <w:t>th</w:t>
            </w:r>
            <w:r>
              <w:rPr>
                <w:sz w:val="18"/>
              </w:rPr>
              <w:t xml:space="preserve"> Grade Math</w:t>
            </w:r>
          </w:p>
        </w:tc>
        <w:tc>
          <w:tcPr>
            <w:tcW w:w="955" w:type="dxa"/>
            <w:vAlign w:val="center"/>
          </w:tcPr>
          <w:p w14:paraId="1BF45F42" w14:textId="77777777" w:rsidR="00CF7329" w:rsidRPr="00A80F8F" w:rsidRDefault="00CF7329" w:rsidP="000C2FB1">
            <w:pPr>
              <w:jc w:val="center"/>
              <w:rPr>
                <w:sz w:val="18"/>
                <w:szCs w:val="18"/>
              </w:rPr>
            </w:pPr>
            <w:r>
              <w:rPr>
                <w:sz w:val="18"/>
                <w:szCs w:val="18"/>
              </w:rPr>
              <w:t>46</w:t>
            </w:r>
          </w:p>
        </w:tc>
        <w:tc>
          <w:tcPr>
            <w:tcW w:w="1870" w:type="dxa"/>
            <w:vAlign w:val="center"/>
          </w:tcPr>
          <w:p w14:paraId="08F72FE3" w14:textId="77777777" w:rsidR="00CF7329" w:rsidRPr="00A80F8F" w:rsidRDefault="00CF7329" w:rsidP="000C2FB1">
            <w:pPr>
              <w:jc w:val="center"/>
              <w:rPr>
                <w:sz w:val="18"/>
                <w:szCs w:val="18"/>
              </w:rPr>
            </w:pPr>
            <w:r>
              <w:rPr>
                <w:sz w:val="18"/>
                <w:szCs w:val="18"/>
              </w:rPr>
              <w:t>539.37</w:t>
            </w:r>
          </w:p>
        </w:tc>
        <w:tc>
          <w:tcPr>
            <w:tcW w:w="1870" w:type="dxa"/>
            <w:vAlign w:val="center"/>
          </w:tcPr>
          <w:p w14:paraId="0DF4C0D4" w14:textId="77777777" w:rsidR="00CF7329" w:rsidRPr="00A80F8F" w:rsidRDefault="00CF7329" w:rsidP="000C2FB1">
            <w:pPr>
              <w:jc w:val="center"/>
              <w:rPr>
                <w:sz w:val="18"/>
                <w:szCs w:val="18"/>
              </w:rPr>
            </w:pPr>
            <w:r>
              <w:rPr>
                <w:sz w:val="18"/>
                <w:szCs w:val="18"/>
              </w:rPr>
              <w:t>82.61</w:t>
            </w:r>
          </w:p>
        </w:tc>
        <w:tc>
          <w:tcPr>
            <w:tcW w:w="1870" w:type="dxa"/>
            <w:vAlign w:val="center"/>
          </w:tcPr>
          <w:p w14:paraId="019642B0" w14:textId="77777777" w:rsidR="00CF7329" w:rsidRPr="00A80F8F" w:rsidRDefault="00CF7329" w:rsidP="000C2FB1">
            <w:pPr>
              <w:jc w:val="center"/>
              <w:rPr>
                <w:sz w:val="18"/>
                <w:szCs w:val="18"/>
              </w:rPr>
            </w:pPr>
            <w:r>
              <w:rPr>
                <w:sz w:val="18"/>
                <w:szCs w:val="18"/>
              </w:rPr>
              <w:t>17.39</w:t>
            </w:r>
          </w:p>
        </w:tc>
      </w:tr>
      <w:tr w:rsidR="00CF7329" w14:paraId="03F4E044" w14:textId="77777777" w:rsidTr="000C2FB1">
        <w:tc>
          <w:tcPr>
            <w:tcW w:w="2785" w:type="dxa"/>
            <w:vAlign w:val="center"/>
          </w:tcPr>
          <w:p w14:paraId="2DE62EF0" w14:textId="77777777" w:rsidR="00CF7329" w:rsidRDefault="00CF7329" w:rsidP="000C2FB1">
            <w:pPr>
              <w:jc w:val="right"/>
              <w:rPr>
                <w:sz w:val="18"/>
              </w:rPr>
            </w:pPr>
            <w:r>
              <w:rPr>
                <w:sz w:val="18"/>
              </w:rPr>
              <w:t>5</w:t>
            </w:r>
            <w:r w:rsidRPr="000F1F8B">
              <w:rPr>
                <w:sz w:val="18"/>
                <w:vertAlign w:val="superscript"/>
              </w:rPr>
              <w:t>th</w:t>
            </w:r>
            <w:r>
              <w:rPr>
                <w:sz w:val="18"/>
              </w:rPr>
              <w:t xml:space="preserve"> Grade Math</w:t>
            </w:r>
          </w:p>
        </w:tc>
        <w:tc>
          <w:tcPr>
            <w:tcW w:w="955" w:type="dxa"/>
            <w:vAlign w:val="center"/>
          </w:tcPr>
          <w:p w14:paraId="72A36D40" w14:textId="77777777" w:rsidR="00CF7329" w:rsidRDefault="00CF7329" w:rsidP="000C2FB1">
            <w:pPr>
              <w:jc w:val="center"/>
              <w:rPr>
                <w:sz w:val="18"/>
                <w:szCs w:val="18"/>
              </w:rPr>
            </w:pPr>
            <w:r>
              <w:rPr>
                <w:sz w:val="18"/>
                <w:szCs w:val="18"/>
              </w:rPr>
              <w:t>48</w:t>
            </w:r>
          </w:p>
        </w:tc>
        <w:tc>
          <w:tcPr>
            <w:tcW w:w="1870" w:type="dxa"/>
            <w:vAlign w:val="center"/>
          </w:tcPr>
          <w:p w14:paraId="02A315B5" w14:textId="77777777" w:rsidR="00CF7329" w:rsidRDefault="00CF7329" w:rsidP="000C2FB1">
            <w:pPr>
              <w:jc w:val="center"/>
              <w:rPr>
                <w:sz w:val="18"/>
                <w:szCs w:val="18"/>
              </w:rPr>
            </w:pPr>
            <w:r>
              <w:rPr>
                <w:sz w:val="18"/>
                <w:szCs w:val="18"/>
              </w:rPr>
              <w:t>538.77</w:t>
            </w:r>
          </w:p>
        </w:tc>
        <w:tc>
          <w:tcPr>
            <w:tcW w:w="1870" w:type="dxa"/>
            <w:vAlign w:val="center"/>
          </w:tcPr>
          <w:p w14:paraId="45847222" w14:textId="77777777" w:rsidR="00CF7329" w:rsidRDefault="00CF7329" w:rsidP="000C2FB1">
            <w:pPr>
              <w:jc w:val="center"/>
              <w:rPr>
                <w:sz w:val="18"/>
                <w:szCs w:val="18"/>
              </w:rPr>
            </w:pPr>
            <w:r>
              <w:rPr>
                <w:sz w:val="18"/>
                <w:szCs w:val="18"/>
              </w:rPr>
              <w:t>79.17</w:t>
            </w:r>
          </w:p>
        </w:tc>
        <w:tc>
          <w:tcPr>
            <w:tcW w:w="1870" w:type="dxa"/>
            <w:vAlign w:val="center"/>
          </w:tcPr>
          <w:p w14:paraId="051B50BC" w14:textId="77777777" w:rsidR="00CF7329" w:rsidRDefault="00CF7329" w:rsidP="000C2FB1">
            <w:pPr>
              <w:jc w:val="center"/>
              <w:rPr>
                <w:sz w:val="18"/>
                <w:szCs w:val="18"/>
              </w:rPr>
            </w:pPr>
            <w:r>
              <w:rPr>
                <w:sz w:val="18"/>
                <w:szCs w:val="18"/>
              </w:rPr>
              <w:t>20.83</w:t>
            </w:r>
          </w:p>
        </w:tc>
      </w:tr>
      <w:tr w:rsidR="00CF7329" w14:paraId="65A6099C" w14:textId="77777777" w:rsidTr="000C2FB1">
        <w:tc>
          <w:tcPr>
            <w:tcW w:w="2785" w:type="dxa"/>
            <w:vAlign w:val="center"/>
          </w:tcPr>
          <w:p w14:paraId="644C4B5F" w14:textId="77777777" w:rsidR="00CF7329" w:rsidRDefault="00CF7329" w:rsidP="000C2FB1">
            <w:pPr>
              <w:jc w:val="right"/>
              <w:rPr>
                <w:sz w:val="18"/>
              </w:rPr>
            </w:pPr>
            <w:r>
              <w:rPr>
                <w:sz w:val="18"/>
              </w:rPr>
              <w:t>5</w:t>
            </w:r>
            <w:r w:rsidRPr="000F1F8B">
              <w:rPr>
                <w:sz w:val="18"/>
                <w:vertAlign w:val="superscript"/>
              </w:rPr>
              <w:t>th</w:t>
            </w:r>
            <w:r>
              <w:rPr>
                <w:sz w:val="18"/>
              </w:rPr>
              <w:t xml:space="preserve"> Grade Science</w:t>
            </w:r>
          </w:p>
        </w:tc>
        <w:tc>
          <w:tcPr>
            <w:tcW w:w="955" w:type="dxa"/>
            <w:vAlign w:val="center"/>
          </w:tcPr>
          <w:p w14:paraId="5DF45DF7" w14:textId="77777777" w:rsidR="00CF7329" w:rsidRDefault="00CF7329" w:rsidP="000C2FB1">
            <w:pPr>
              <w:jc w:val="center"/>
              <w:rPr>
                <w:sz w:val="18"/>
                <w:szCs w:val="18"/>
              </w:rPr>
            </w:pPr>
            <w:r>
              <w:rPr>
                <w:sz w:val="18"/>
                <w:szCs w:val="18"/>
              </w:rPr>
              <w:t>48</w:t>
            </w:r>
          </w:p>
        </w:tc>
        <w:tc>
          <w:tcPr>
            <w:tcW w:w="1870" w:type="dxa"/>
            <w:vAlign w:val="center"/>
          </w:tcPr>
          <w:p w14:paraId="02C5C080" w14:textId="77777777" w:rsidR="00CF7329" w:rsidRDefault="00CF7329" w:rsidP="000C2FB1">
            <w:pPr>
              <w:jc w:val="center"/>
              <w:rPr>
                <w:sz w:val="18"/>
                <w:szCs w:val="18"/>
              </w:rPr>
            </w:pPr>
            <w:r>
              <w:rPr>
                <w:sz w:val="18"/>
                <w:szCs w:val="18"/>
              </w:rPr>
              <w:t>245.06</w:t>
            </w:r>
          </w:p>
        </w:tc>
        <w:tc>
          <w:tcPr>
            <w:tcW w:w="1870" w:type="dxa"/>
            <w:vAlign w:val="center"/>
          </w:tcPr>
          <w:p w14:paraId="777693F6" w14:textId="77777777" w:rsidR="00CF7329" w:rsidRDefault="00CF7329" w:rsidP="000C2FB1">
            <w:pPr>
              <w:jc w:val="center"/>
              <w:rPr>
                <w:sz w:val="18"/>
                <w:szCs w:val="18"/>
              </w:rPr>
            </w:pPr>
            <w:r>
              <w:rPr>
                <w:sz w:val="18"/>
                <w:szCs w:val="18"/>
              </w:rPr>
              <w:t>60.42</w:t>
            </w:r>
          </w:p>
        </w:tc>
        <w:tc>
          <w:tcPr>
            <w:tcW w:w="1870" w:type="dxa"/>
            <w:vAlign w:val="center"/>
          </w:tcPr>
          <w:p w14:paraId="1B173DAE" w14:textId="77777777" w:rsidR="00CF7329" w:rsidRDefault="00CF7329" w:rsidP="000C2FB1">
            <w:pPr>
              <w:jc w:val="center"/>
              <w:rPr>
                <w:sz w:val="18"/>
                <w:szCs w:val="18"/>
              </w:rPr>
            </w:pPr>
            <w:r>
              <w:rPr>
                <w:sz w:val="18"/>
                <w:szCs w:val="18"/>
              </w:rPr>
              <w:t>39.58</w:t>
            </w:r>
          </w:p>
        </w:tc>
      </w:tr>
      <w:tr w:rsidR="00CF7329" w14:paraId="768DCC3A" w14:textId="77777777" w:rsidTr="000C2FB1">
        <w:tc>
          <w:tcPr>
            <w:tcW w:w="9350" w:type="dxa"/>
            <w:gridSpan w:val="5"/>
            <w:vAlign w:val="center"/>
          </w:tcPr>
          <w:p w14:paraId="2DCB97DD" w14:textId="77777777" w:rsidR="00CF7329" w:rsidRPr="00A80F8F" w:rsidRDefault="00CF7329" w:rsidP="000C2FB1">
            <w:pPr>
              <w:jc w:val="center"/>
              <w:rPr>
                <w:i/>
                <w:sz w:val="18"/>
                <w:szCs w:val="18"/>
              </w:rPr>
            </w:pPr>
            <w:r>
              <w:rPr>
                <w:i/>
                <w:sz w:val="18"/>
                <w:szCs w:val="18"/>
              </w:rPr>
              <w:t>All Other Winston-Salem Forsyth Students</w:t>
            </w:r>
          </w:p>
        </w:tc>
      </w:tr>
      <w:tr w:rsidR="00CF7329" w14:paraId="7CA346E5" w14:textId="77777777" w:rsidTr="000C2FB1">
        <w:tc>
          <w:tcPr>
            <w:tcW w:w="2785" w:type="dxa"/>
            <w:vAlign w:val="center"/>
          </w:tcPr>
          <w:p w14:paraId="38E0D032" w14:textId="77777777" w:rsidR="00CF7329" w:rsidRPr="00A80F8F" w:rsidRDefault="00CF7329" w:rsidP="000C2FB1">
            <w:pPr>
              <w:jc w:val="right"/>
              <w:rPr>
                <w:sz w:val="18"/>
              </w:rPr>
            </w:pPr>
            <w:r>
              <w:rPr>
                <w:sz w:val="18"/>
              </w:rPr>
              <w:t xml:space="preserve"> 3</w:t>
            </w:r>
            <w:r w:rsidRPr="00A80F8F">
              <w:rPr>
                <w:sz w:val="18"/>
                <w:vertAlign w:val="superscript"/>
              </w:rPr>
              <w:t>rd</w:t>
            </w:r>
            <w:r>
              <w:rPr>
                <w:sz w:val="18"/>
              </w:rPr>
              <w:t xml:space="preserve"> Grade Reading</w:t>
            </w:r>
          </w:p>
        </w:tc>
        <w:tc>
          <w:tcPr>
            <w:tcW w:w="955" w:type="dxa"/>
            <w:vAlign w:val="center"/>
          </w:tcPr>
          <w:p w14:paraId="239FE336" w14:textId="77777777" w:rsidR="00CF7329" w:rsidRPr="00A80F8F" w:rsidRDefault="00CF7329" w:rsidP="000C2FB1">
            <w:pPr>
              <w:jc w:val="center"/>
              <w:rPr>
                <w:sz w:val="18"/>
                <w:szCs w:val="18"/>
              </w:rPr>
            </w:pPr>
            <w:r>
              <w:rPr>
                <w:sz w:val="18"/>
                <w:szCs w:val="18"/>
              </w:rPr>
              <w:t>4,025</w:t>
            </w:r>
          </w:p>
        </w:tc>
        <w:tc>
          <w:tcPr>
            <w:tcW w:w="1870" w:type="dxa"/>
            <w:vAlign w:val="center"/>
          </w:tcPr>
          <w:p w14:paraId="47DC4850" w14:textId="77777777" w:rsidR="00CF7329" w:rsidRPr="00A80F8F" w:rsidRDefault="00CF7329" w:rsidP="000C2FB1">
            <w:pPr>
              <w:jc w:val="center"/>
              <w:rPr>
                <w:sz w:val="18"/>
                <w:szCs w:val="18"/>
              </w:rPr>
            </w:pPr>
            <w:r>
              <w:rPr>
                <w:sz w:val="18"/>
                <w:szCs w:val="18"/>
              </w:rPr>
              <w:t>437.53</w:t>
            </w:r>
          </w:p>
        </w:tc>
        <w:tc>
          <w:tcPr>
            <w:tcW w:w="1870" w:type="dxa"/>
            <w:vAlign w:val="center"/>
          </w:tcPr>
          <w:p w14:paraId="68CEF9A8" w14:textId="77777777" w:rsidR="00CF7329" w:rsidRPr="00A80F8F" w:rsidRDefault="00CF7329" w:rsidP="000C2FB1">
            <w:pPr>
              <w:jc w:val="center"/>
              <w:rPr>
                <w:sz w:val="18"/>
                <w:szCs w:val="18"/>
              </w:rPr>
            </w:pPr>
            <w:r>
              <w:rPr>
                <w:sz w:val="18"/>
                <w:szCs w:val="18"/>
              </w:rPr>
              <w:t>48.97</w:t>
            </w:r>
          </w:p>
        </w:tc>
        <w:tc>
          <w:tcPr>
            <w:tcW w:w="1870" w:type="dxa"/>
            <w:vAlign w:val="center"/>
          </w:tcPr>
          <w:p w14:paraId="674C7EA4" w14:textId="77777777" w:rsidR="00CF7329" w:rsidRPr="00A80F8F" w:rsidRDefault="00CF7329" w:rsidP="000C2FB1">
            <w:pPr>
              <w:jc w:val="center"/>
              <w:rPr>
                <w:sz w:val="18"/>
                <w:szCs w:val="18"/>
              </w:rPr>
            </w:pPr>
            <w:r>
              <w:rPr>
                <w:sz w:val="18"/>
                <w:szCs w:val="18"/>
              </w:rPr>
              <w:t>51.03</w:t>
            </w:r>
          </w:p>
        </w:tc>
      </w:tr>
      <w:tr w:rsidR="00CF7329" w14:paraId="7A75D497" w14:textId="77777777" w:rsidTr="000C2FB1">
        <w:tc>
          <w:tcPr>
            <w:tcW w:w="2785" w:type="dxa"/>
            <w:vAlign w:val="center"/>
          </w:tcPr>
          <w:p w14:paraId="1EE3BFEC" w14:textId="77777777" w:rsidR="00CF7329" w:rsidRPr="00A80F8F" w:rsidRDefault="00CF7329" w:rsidP="000C2FB1">
            <w:pPr>
              <w:jc w:val="right"/>
              <w:rPr>
                <w:sz w:val="18"/>
              </w:rPr>
            </w:pPr>
            <w:r>
              <w:rPr>
                <w:sz w:val="18"/>
              </w:rPr>
              <w:t>4</w:t>
            </w:r>
            <w:r w:rsidRPr="00A80F8F">
              <w:rPr>
                <w:sz w:val="18"/>
                <w:vertAlign w:val="superscript"/>
              </w:rPr>
              <w:t>th</w:t>
            </w:r>
            <w:r>
              <w:rPr>
                <w:sz w:val="18"/>
              </w:rPr>
              <w:t xml:space="preserve"> Grade Reading</w:t>
            </w:r>
          </w:p>
        </w:tc>
        <w:tc>
          <w:tcPr>
            <w:tcW w:w="955" w:type="dxa"/>
            <w:vAlign w:val="center"/>
          </w:tcPr>
          <w:p w14:paraId="2246769C" w14:textId="77777777" w:rsidR="00CF7329" w:rsidRPr="00A80F8F" w:rsidRDefault="00CF7329" w:rsidP="000C2FB1">
            <w:pPr>
              <w:jc w:val="center"/>
              <w:rPr>
                <w:sz w:val="18"/>
                <w:szCs w:val="18"/>
              </w:rPr>
            </w:pPr>
            <w:r>
              <w:rPr>
                <w:sz w:val="18"/>
                <w:szCs w:val="18"/>
              </w:rPr>
              <w:t>4,205</w:t>
            </w:r>
          </w:p>
        </w:tc>
        <w:tc>
          <w:tcPr>
            <w:tcW w:w="1870" w:type="dxa"/>
            <w:vAlign w:val="center"/>
          </w:tcPr>
          <w:p w14:paraId="04410928" w14:textId="77777777" w:rsidR="00CF7329" w:rsidRPr="00A80F8F" w:rsidRDefault="00CF7329" w:rsidP="000C2FB1">
            <w:pPr>
              <w:jc w:val="center"/>
              <w:rPr>
                <w:sz w:val="18"/>
                <w:szCs w:val="18"/>
              </w:rPr>
            </w:pPr>
            <w:r>
              <w:rPr>
                <w:sz w:val="18"/>
                <w:szCs w:val="18"/>
              </w:rPr>
              <w:t>444.45</w:t>
            </w:r>
          </w:p>
        </w:tc>
        <w:tc>
          <w:tcPr>
            <w:tcW w:w="1870" w:type="dxa"/>
            <w:vAlign w:val="center"/>
          </w:tcPr>
          <w:p w14:paraId="4E08E5C6" w14:textId="77777777" w:rsidR="00CF7329" w:rsidRPr="00A80F8F" w:rsidRDefault="00CF7329" w:rsidP="000C2FB1">
            <w:pPr>
              <w:jc w:val="center"/>
              <w:rPr>
                <w:sz w:val="18"/>
                <w:szCs w:val="18"/>
              </w:rPr>
            </w:pPr>
            <w:r>
              <w:rPr>
                <w:sz w:val="18"/>
                <w:szCs w:val="18"/>
              </w:rPr>
              <w:t>43.59</w:t>
            </w:r>
          </w:p>
        </w:tc>
        <w:tc>
          <w:tcPr>
            <w:tcW w:w="1870" w:type="dxa"/>
            <w:vAlign w:val="center"/>
          </w:tcPr>
          <w:p w14:paraId="4663B725" w14:textId="77777777" w:rsidR="00CF7329" w:rsidRPr="00A80F8F" w:rsidRDefault="00CF7329" w:rsidP="000C2FB1">
            <w:pPr>
              <w:jc w:val="center"/>
              <w:rPr>
                <w:sz w:val="18"/>
                <w:szCs w:val="18"/>
              </w:rPr>
            </w:pPr>
            <w:r>
              <w:rPr>
                <w:sz w:val="18"/>
                <w:szCs w:val="18"/>
              </w:rPr>
              <w:t>56.41</w:t>
            </w:r>
          </w:p>
        </w:tc>
      </w:tr>
      <w:tr w:rsidR="00CF7329" w14:paraId="599505EB" w14:textId="77777777" w:rsidTr="000C2FB1">
        <w:tc>
          <w:tcPr>
            <w:tcW w:w="2785" w:type="dxa"/>
            <w:vAlign w:val="center"/>
          </w:tcPr>
          <w:p w14:paraId="15699002" w14:textId="77777777" w:rsidR="00CF7329" w:rsidRDefault="00CF7329" w:rsidP="000C2FB1">
            <w:pPr>
              <w:jc w:val="right"/>
              <w:rPr>
                <w:sz w:val="18"/>
              </w:rPr>
            </w:pPr>
            <w:r>
              <w:rPr>
                <w:sz w:val="18"/>
              </w:rPr>
              <w:t>5</w:t>
            </w:r>
            <w:r w:rsidRPr="00703895">
              <w:rPr>
                <w:sz w:val="18"/>
                <w:vertAlign w:val="superscript"/>
              </w:rPr>
              <w:t>th</w:t>
            </w:r>
            <w:r>
              <w:rPr>
                <w:sz w:val="18"/>
              </w:rPr>
              <w:t xml:space="preserve"> Grade Reading</w:t>
            </w:r>
          </w:p>
        </w:tc>
        <w:tc>
          <w:tcPr>
            <w:tcW w:w="955" w:type="dxa"/>
            <w:vAlign w:val="center"/>
          </w:tcPr>
          <w:p w14:paraId="0DC6469D" w14:textId="77777777" w:rsidR="00CF7329" w:rsidRPr="00A80F8F" w:rsidRDefault="00CF7329" w:rsidP="000C2FB1">
            <w:pPr>
              <w:jc w:val="center"/>
              <w:rPr>
                <w:sz w:val="18"/>
                <w:szCs w:val="18"/>
              </w:rPr>
            </w:pPr>
            <w:r>
              <w:rPr>
                <w:sz w:val="18"/>
                <w:szCs w:val="18"/>
              </w:rPr>
              <w:t>4,366</w:t>
            </w:r>
          </w:p>
        </w:tc>
        <w:tc>
          <w:tcPr>
            <w:tcW w:w="1870" w:type="dxa"/>
            <w:vAlign w:val="center"/>
          </w:tcPr>
          <w:p w14:paraId="0A8FBD1F" w14:textId="77777777" w:rsidR="00CF7329" w:rsidRPr="00A80F8F" w:rsidRDefault="00CF7329" w:rsidP="000C2FB1">
            <w:pPr>
              <w:jc w:val="center"/>
              <w:rPr>
                <w:sz w:val="18"/>
                <w:szCs w:val="18"/>
              </w:rPr>
            </w:pPr>
            <w:r>
              <w:rPr>
                <w:sz w:val="18"/>
                <w:szCs w:val="18"/>
              </w:rPr>
              <w:t>448.62</w:t>
            </w:r>
          </w:p>
        </w:tc>
        <w:tc>
          <w:tcPr>
            <w:tcW w:w="1870" w:type="dxa"/>
            <w:vAlign w:val="center"/>
          </w:tcPr>
          <w:p w14:paraId="4756F7B2" w14:textId="77777777" w:rsidR="00CF7329" w:rsidRPr="00A80F8F" w:rsidRDefault="00CF7329" w:rsidP="000C2FB1">
            <w:pPr>
              <w:jc w:val="center"/>
              <w:rPr>
                <w:sz w:val="18"/>
                <w:szCs w:val="18"/>
              </w:rPr>
            </w:pPr>
            <w:r>
              <w:rPr>
                <w:sz w:val="18"/>
                <w:szCs w:val="18"/>
              </w:rPr>
              <w:t>47.53</w:t>
            </w:r>
          </w:p>
        </w:tc>
        <w:tc>
          <w:tcPr>
            <w:tcW w:w="1870" w:type="dxa"/>
            <w:vAlign w:val="center"/>
          </w:tcPr>
          <w:p w14:paraId="6E6952A9" w14:textId="77777777" w:rsidR="00CF7329" w:rsidRPr="00A80F8F" w:rsidRDefault="00CF7329" w:rsidP="000C2FB1">
            <w:pPr>
              <w:jc w:val="center"/>
              <w:rPr>
                <w:sz w:val="18"/>
                <w:szCs w:val="18"/>
              </w:rPr>
            </w:pPr>
            <w:r>
              <w:rPr>
                <w:sz w:val="18"/>
                <w:szCs w:val="18"/>
              </w:rPr>
              <w:t>52.47</w:t>
            </w:r>
          </w:p>
        </w:tc>
      </w:tr>
      <w:tr w:rsidR="00CF7329" w14:paraId="3AB5654A" w14:textId="77777777" w:rsidTr="000C2FB1">
        <w:tc>
          <w:tcPr>
            <w:tcW w:w="2785" w:type="dxa"/>
            <w:vAlign w:val="center"/>
          </w:tcPr>
          <w:p w14:paraId="4510F132" w14:textId="77777777" w:rsidR="00CF7329" w:rsidRPr="00A80F8F" w:rsidRDefault="00CF7329" w:rsidP="000C2FB1">
            <w:pPr>
              <w:jc w:val="right"/>
              <w:rPr>
                <w:sz w:val="18"/>
              </w:rPr>
            </w:pPr>
            <w:r>
              <w:rPr>
                <w:sz w:val="18"/>
              </w:rPr>
              <w:t>3</w:t>
            </w:r>
            <w:r w:rsidRPr="00A80F8F">
              <w:rPr>
                <w:sz w:val="18"/>
                <w:vertAlign w:val="superscript"/>
              </w:rPr>
              <w:t>rd</w:t>
            </w:r>
            <w:r>
              <w:rPr>
                <w:sz w:val="18"/>
              </w:rPr>
              <w:t xml:space="preserve"> Grade Math</w:t>
            </w:r>
          </w:p>
        </w:tc>
        <w:tc>
          <w:tcPr>
            <w:tcW w:w="955" w:type="dxa"/>
            <w:vAlign w:val="center"/>
          </w:tcPr>
          <w:p w14:paraId="3601E96D" w14:textId="77777777" w:rsidR="00CF7329" w:rsidRPr="00A80F8F" w:rsidRDefault="00CF7329" w:rsidP="000C2FB1">
            <w:pPr>
              <w:jc w:val="center"/>
              <w:rPr>
                <w:sz w:val="18"/>
                <w:szCs w:val="18"/>
              </w:rPr>
            </w:pPr>
            <w:r>
              <w:rPr>
                <w:sz w:val="18"/>
                <w:szCs w:val="18"/>
              </w:rPr>
              <w:t>4,020</w:t>
            </w:r>
          </w:p>
        </w:tc>
        <w:tc>
          <w:tcPr>
            <w:tcW w:w="1870" w:type="dxa"/>
            <w:vAlign w:val="center"/>
          </w:tcPr>
          <w:p w14:paraId="0264C169" w14:textId="77777777" w:rsidR="00CF7329" w:rsidRPr="00A80F8F" w:rsidRDefault="00CF7329" w:rsidP="000C2FB1">
            <w:pPr>
              <w:jc w:val="center"/>
              <w:rPr>
                <w:sz w:val="18"/>
                <w:szCs w:val="18"/>
              </w:rPr>
            </w:pPr>
            <w:r>
              <w:rPr>
                <w:sz w:val="18"/>
                <w:szCs w:val="18"/>
              </w:rPr>
              <w:t>547.40</w:t>
            </w:r>
          </w:p>
        </w:tc>
        <w:tc>
          <w:tcPr>
            <w:tcW w:w="1870" w:type="dxa"/>
            <w:vAlign w:val="center"/>
          </w:tcPr>
          <w:p w14:paraId="6E5C7F35" w14:textId="77777777" w:rsidR="00CF7329" w:rsidRPr="00A80F8F" w:rsidRDefault="00CF7329" w:rsidP="000C2FB1">
            <w:pPr>
              <w:jc w:val="center"/>
              <w:rPr>
                <w:sz w:val="18"/>
                <w:szCs w:val="18"/>
              </w:rPr>
            </w:pPr>
            <w:r>
              <w:rPr>
                <w:sz w:val="18"/>
                <w:szCs w:val="18"/>
              </w:rPr>
              <w:t>40.65</w:t>
            </w:r>
          </w:p>
        </w:tc>
        <w:tc>
          <w:tcPr>
            <w:tcW w:w="1870" w:type="dxa"/>
            <w:vAlign w:val="center"/>
          </w:tcPr>
          <w:p w14:paraId="6D88F895" w14:textId="77777777" w:rsidR="00CF7329" w:rsidRPr="00A80F8F" w:rsidRDefault="00CF7329" w:rsidP="000C2FB1">
            <w:pPr>
              <w:jc w:val="center"/>
              <w:rPr>
                <w:sz w:val="18"/>
                <w:szCs w:val="18"/>
              </w:rPr>
            </w:pPr>
            <w:r>
              <w:rPr>
                <w:sz w:val="18"/>
                <w:szCs w:val="18"/>
              </w:rPr>
              <w:t>59.35</w:t>
            </w:r>
          </w:p>
        </w:tc>
      </w:tr>
      <w:tr w:rsidR="00CF7329" w14:paraId="6A8060EE" w14:textId="77777777" w:rsidTr="000C2FB1">
        <w:tc>
          <w:tcPr>
            <w:tcW w:w="2785" w:type="dxa"/>
            <w:vAlign w:val="center"/>
          </w:tcPr>
          <w:p w14:paraId="5BFB96C8" w14:textId="77777777" w:rsidR="00CF7329" w:rsidRPr="00A80F8F" w:rsidRDefault="00CF7329" w:rsidP="000C2FB1">
            <w:pPr>
              <w:jc w:val="right"/>
              <w:rPr>
                <w:sz w:val="18"/>
              </w:rPr>
            </w:pPr>
            <w:r>
              <w:rPr>
                <w:sz w:val="18"/>
              </w:rPr>
              <w:t>4</w:t>
            </w:r>
            <w:r w:rsidRPr="00A80F8F">
              <w:rPr>
                <w:sz w:val="18"/>
                <w:vertAlign w:val="superscript"/>
              </w:rPr>
              <w:t>th</w:t>
            </w:r>
            <w:r>
              <w:rPr>
                <w:sz w:val="18"/>
              </w:rPr>
              <w:t xml:space="preserve"> Grade Math</w:t>
            </w:r>
          </w:p>
        </w:tc>
        <w:tc>
          <w:tcPr>
            <w:tcW w:w="955" w:type="dxa"/>
            <w:vAlign w:val="center"/>
          </w:tcPr>
          <w:p w14:paraId="5DD45AC2" w14:textId="77777777" w:rsidR="00CF7329" w:rsidRPr="00A80F8F" w:rsidRDefault="00CF7329" w:rsidP="000C2FB1">
            <w:pPr>
              <w:jc w:val="center"/>
              <w:rPr>
                <w:sz w:val="18"/>
                <w:szCs w:val="18"/>
              </w:rPr>
            </w:pPr>
            <w:r>
              <w:rPr>
                <w:sz w:val="18"/>
                <w:szCs w:val="18"/>
              </w:rPr>
              <w:t>4,202</w:t>
            </w:r>
          </w:p>
        </w:tc>
        <w:tc>
          <w:tcPr>
            <w:tcW w:w="1870" w:type="dxa"/>
            <w:vAlign w:val="center"/>
          </w:tcPr>
          <w:p w14:paraId="36AAB818" w14:textId="77777777" w:rsidR="00CF7329" w:rsidRPr="00A80F8F" w:rsidRDefault="00CF7329" w:rsidP="000C2FB1">
            <w:pPr>
              <w:jc w:val="center"/>
              <w:rPr>
                <w:sz w:val="18"/>
                <w:szCs w:val="18"/>
              </w:rPr>
            </w:pPr>
            <w:r>
              <w:rPr>
                <w:sz w:val="18"/>
                <w:szCs w:val="18"/>
              </w:rPr>
              <w:t>547.65</w:t>
            </w:r>
          </w:p>
        </w:tc>
        <w:tc>
          <w:tcPr>
            <w:tcW w:w="1870" w:type="dxa"/>
            <w:vAlign w:val="center"/>
          </w:tcPr>
          <w:p w14:paraId="4E652E9C" w14:textId="77777777" w:rsidR="00CF7329" w:rsidRPr="00A80F8F" w:rsidRDefault="00CF7329" w:rsidP="000C2FB1">
            <w:pPr>
              <w:jc w:val="center"/>
              <w:rPr>
                <w:sz w:val="18"/>
                <w:szCs w:val="18"/>
              </w:rPr>
            </w:pPr>
            <w:r>
              <w:rPr>
                <w:sz w:val="18"/>
                <w:szCs w:val="18"/>
              </w:rPr>
              <w:t>46.05</w:t>
            </w:r>
          </w:p>
        </w:tc>
        <w:tc>
          <w:tcPr>
            <w:tcW w:w="1870" w:type="dxa"/>
            <w:vAlign w:val="center"/>
          </w:tcPr>
          <w:p w14:paraId="1AB9F1DD" w14:textId="77777777" w:rsidR="00CF7329" w:rsidRPr="00A80F8F" w:rsidRDefault="00CF7329" w:rsidP="000C2FB1">
            <w:pPr>
              <w:jc w:val="center"/>
              <w:rPr>
                <w:sz w:val="18"/>
                <w:szCs w:val="18"/>
              </w:rPr>
            </w:pPr>
            <w:r>
              <w:rPr>
                <w:sz w:val="18"/>
                <w:szCs w:val="18"/>
              </w:rPr>
              <w:t>53.95</w:t>
            </w:r>
          </w:p>
        </w:tc>
      </w:tr>
      <w:tr w:rsidR="00CF7329" w14:paraId="70037DD7" w14:textId="77777777" w:rsidTr="000C2FB1">
        <w:tc>
          <w:tcPr>
            <w:tcW w:w="2785" w:type="dxa"/>
            <w:vAlign w:val="center"/>
          </w:tcPr>
          <w:p w14:paraId="5A138CC3" w14:textId="77777777" w:rsidR="00CF7329" w:rsidRDefault="00CF7329" w:rsidP="000C2FB1">
            <w:pPr>
              <w:jc w:val="right"/>
              <w:rPr>
                <w:sz w:val="18"/>
              </w:rPr>
            </w:pPr>
            <w:r>
              <w:rPr>
                <w:sz w:val="18"/>
              </w:rPr>
              <w:t>5</w:t>
            </w:r>
            <w:r w:rsidRPr="00703895">
              <w:rPr>
                <w:sz w:val="18"/>
                <w:vertAlign w:val="superscript"/>
              </w:rPr>
              <w:t>th</w:t>
            </w:r>
            <w:r>
              <w:rPr>
                <w:sz w:val="18"/>
              </w:rPr>
              <w:t xml:space="preserve"> Grade Math</w:t>
            </w:r>
          </w:p>
        </w:tc>
        <w:tc>
          <w:tcPr>
            <w:tcW w:w="955" w:type="dxa"/>
            <w:vAlign w:val="center"/>
          </w:tcPr>
          <w:p w14:paraId="3B0BE9CF" w14:textId="77777777" w:rsidR="00CF7329" w:rsidRPr="00A80F8F" w:rsidRDefault="00CF7329" w:rsidP="000C2FB1">
            <w:pPr>
              <w:jc w:val="center"/>
              <w:rPr>
                <w:sz w:val="18"/>
                <w:szCs w:val="18"/>
              </w:rPr>
            </w:pPr>
            <w:r>
              <w:rPr>
                <w:sz w:val="18"/>
                <w:szCs w:val="18"/>
              </w:rPr>
              <w:t>4,360</w:t>
            </w:r>
          </w:p>
        </w:tc>
        <w:tc>
          <w:tcPr>
            <w:tcW w:w="1870" w:type="dxa"/>
            <w:vAlign w:val="center"/>
          </w:tcPr>
          <w:p w14:paraId="5315834A" w14:textId="77777777" w:rsidR="00CF7329" w:rsidRPr="00A80F8F" w:rsidRDefault="00CF7329" w:rsidP="000C2FB1">
            <w:pPr>
              <w:jc w:val="center"/>
              <w:rPr>
                <w:sz w:val="18"/>
                <w:szCs w:val="18"/>
              </w:rPr>
            </w:pPr>
            <w:r>
              <w:rPr>
                <w:sz w:val="18"/>
                <w:szCs w:val="18"/>
              </w:rPr>
              <w:t>547.31</w:t>
            </w:r>
          </w:p>
        </w:tc>
        <w:tc>
          <w:tcPr>
            <w:tcW w:w="1870" w:type="dxa"/>
            <w:vAlign w:val="center"/>
          </w:tcPr>
          <w:p w14:paraId="7B5A8698" w14:textId="77777777" w:rsidR="00CF7329" w:rsidRPr="00A80F8F" w:rsidRDefault="00CF7329" w:rsidP="000C2FB1">
            <w:pPr>
              <w:jc w:val="center"/>
              <w:rPr>
                <w:sz w:val="18"/>
                <w:szCs w:val="18"/>
              </w:rPr>
            </w:pPr>
            <w:r>
              <w:rPr>
                <w:sz w:val="18"/>
                <w:szCs w:val="18"/>
              </w:rPr>
              <w:t>43.03</w:t>
            </w:r>
          </w:p>
        </w:tc>
        <w:tc>
          <w:tcPr>
            <w:tcW w:w="1870" w:type="dxa"/>
            <w:vAlign w:val="center"/>
          </w:tcPr>
          <w:p w14:paraId="5AEA77D1" w14:textId="77777777" w:rsidR="00CF7329" w:rsidRPr="00A80F8F" w:rsidRDefault="00CF7329" w:rsidP="000C2FB1">
            <w:pPr>
              <w:jc w:val="center"/>
              <w:rPr>
                <w:sz w:val="18"/>
                <w:szCs w:val="18"/>
              </w:rPr>
            </w:pPr>
            <w:r>
              <w:rPr>
                <w:sz w:val="18"/>
                <w:szCs w:val="18"/>
              </w:rPr>
              <w:t>56.97</w:t>
            </w:r>
          </w:p>
        </w:tc>
      </w:tr>
      <w:tr w:rsidR="00CF7329" w14:paraId="7241037A" w14:textId="77777777" w:rsidTr="000C2FB1">
        <w:tc>
          <w:tcPr>
            <w:tcW w:w="2785" w:type="dxa"/>
            <w:vAlign w:val="center"/>
          </w:tcPr>
          <w:p w14:paraId="50FF970B" w14:textId="77777777" w:rsidR="00CF7329" w:rsidRDefault="00CF7329" w:rsidP="000C2FB1">
            <w:pPr>
              <w:jc w:val="right"/>
              <w:rPr>
                <w:sz w:val="18"/>
              </w:rPr>
            </w:pPr>
            <w:r>
              <w:rPr>
                <w:sz w:val="18"/>
              </w:rPr>
              <w:t>5</w:t>
            </w:r>
            <w:r w:rsidRPr="00703895">
              <w:rPr>
                <w:sz w:val="18"/>
                <w:vertAlign w:val="superscript"/>
              </w:rPr>
              <w:t>th</w:t>
            </w:r>
            <w:r>
              <w:rPr>
                <w:sz w:val="18"/>
              </w:rPr>
              <w:t xml:space="preserve"> Grade Science</w:t>
            </w:r>
          </w:p>
        </w:tc>
        <w:tc>
          <w:tcPr>
            <w:tcW w:w="955" w:type="dxa"/>
            <w:vAlign w:val="center"/>
          </w:tcPr>
          <w:p w14:paraId="7852573C" w14:textId="77777777" w:rsidR="00CF7329" w:rsidRPr="00A80F8F" w:rsidRDefault="00CF7329" w:rsidP="000C2FB1">
            <w:pPr>
              <w:jc w:val="center"/>
              <w:rPr>
                <w:sz w:val="18"/>
                <w:szCs w:val="18"/>
              </w:rPr>
            </w:pPr>
            <w:r>
              <w:rPr>
                <w:sz w:val="18"/>
                <w:szCs w:val="18"/>
              </w:rPr>
              <w:t>4,362</w:t>
            </w:r>
          </w:p>
        </w:tc>
        <w:tc>
          <w:tcPr>
            <w:tcW w:w="1870" w:type="dxa"/>
            <w:vAlign w:val="center"/>
          </w:tcPr>
          <w:p w14:paraId="09E99BA0" w14:textId="77777777" w:rsidR="00CF7329" w:rsidRPr="00A80F8F" w:rsidRDefault="00CF7329" w:rsidP="000C2FB1">
            <w:pPr>
              <w:jc w:val="center"/>
              <w:rPr>
                <w:sz w:val="18"/>
                <w:szCs w:val="18"/>
              </w:rPr>
            </w:pPr>
            <w:r>
              <w:rPr>
                <w:sz w:val="18"/>
                <w:szCs w:val="18"/>
              </w:rPr>
              <w:t>252.75</w:t>
            </w:r>
          </w:p>
        </w:tc>
        <w:tc>
          <w:tcPr>
            <w:tcW w:w="1870" w:type="dxa"/>
            <w:vAlign w:val="center"/>
          </w:tcPr>
          <w:p w14:paraId="6204024B" w14:textId="77777777" w:rsidR="00CF7329" w:rsidRPr="00A80F8F" w:rsidRDefault="00CF7329" w:rsidP="000C2FB1">
            <w:pPr>
              <w:jc w:val="center"/>
              <w:rPr>
                <w:sz w:val="18"/>
                <w:szCs w:val="18"/>
              </w:rPr>
            </w:pPr>
            <w:r>
              <w:rPr>
                <w:sz w:val="18"/>
                <w:szCs w:val="18"/>
              </w:rPr>
              <w:t>30.10</w:t>
            </w:r>
          </w:p>
        </w:tc>
        <w:tc>
          <w:tcPr>
            <w:tcW w:w="1870" w:type="dxa"/>
            <w:vAlign w:val="center"/>
          </w:tcPr>
          <w:p w14:paraId="4ED8E7CA" w14:textId="77777777" w:rsidR="00CF7329" w:rsidRPr="00A80F8F" w:rsidRDefault="00CF7329" w:rsidP="000C2FB1">
            <w:pPr>
              <w:jc w:val="center"/>
              <w:rPr>
                <w:sz w:val="18"/>
                <w:szCs w:val="18"/>
              </w:rPr>
            </w:pPr>
            <w:r>
              <w:rPr>
                <w:sz w:val="18"/>
                <w:szCs w:val="18"/>
              </w:rPr>
              <w:t>69.90</w:t>
            </w:r>
          </w:p>
        </w:tc>
      </w:tr>
    </w:tbl>
    <w:p w14:paraId="432F4A05" w14:textId="77777777" w:rsidR="00CF7329" w:rsidRDefault="00CF7329" w:rsidP="00CF7329">
      <w:pPr>
        <w:spacing w:after="0" w:line="240" w:lineRule="auto"/>
        <w:rPr>
          <w:i/>
          <w:sz w:val="16"/>
        </w:rPr>
      </w:pPr>
      <w:r>
        <w:rPr>
          <w:i/>
          <w:sz w:val="16"/>
        </w:rPr>
        <w:t>Note:  For the 2018-19 academic year, this table displays descriptive student achievement data for the Appalachian Academy at Middle Fork and for all other Winston-Salem Forsyth County students in the same grades.</w:t>
      </w:r>
    </w:p>
    <w:p w14:paraId="6D972EA6" w14:textId="77777777" w:rsidR="004A191B" w:rsidRPr="00A80F8F" w:rsidRDefault="004A191B" w:rsidP="004A191B">
      <w:pPr>
        <w:spacing w:after="0" w:line="240" w:lineRule="auto"/>
        <w:rPr>
          <w:i/>
        </w:rPr>
      </w:pPr>
    </w:p>
    <w:p w14:paraId="5BE57756" w14:textId="2C87E5EF" w:rsidR="004A191B" w:rsidRDefault="004A191B" w:rsidP="004A191B">
      <w:pPr>
        <w:spacing w:after="0" w:line="240" w:lineRule="auto"/>
        <w:rPr>
          <w:i/>
        </w:rPr>
      </w:pPr>
    </w:p>
    <w:p w14:paraId="748CBFC9" w14:textId="56A68A8A" w:rsidR="00CF7329" w:rsidRDefault="00CF7329" w:rsidP="004A191B">
      <w:pPr>
        <w:spacing w:after="0" w:line="240" w:lineRule="auto"/>
        <w:rPr>
          <w:i/>
        </w:rPr>
      </w:pPr>
    </w:p>
    <w:p w14:paraId="4E1DA82C" w14:textId="62C98A3B" w:rsidR="00CF7329" w:rsidRDefault="00CF7329" w:rsidP="004A191B">
      <w:pPr>
        <w:spacing w:after="0" w:line="240" w:lineRule="auto"/>
        <w:rPr>
          <w:i/>
        </w:rPr>
      </w:pPr>
    </w:p>
    <w:p w14:paraId="68C8E900" w14:textId="7E9F9098" w:rsidR="00CF7329" w:rsidRDefault="00CF7329" w:rsidP="004A191B">
      <w:pPr>
        <w:spacing w:after="0" w:line="240" w:lineRule="auto"/>
        <w:rPr>
          <w:i/>
        </w:rPr>
      </w:pPr>
    </w:p>
    <w:p w14:paraId="4A7B1120" w14:textId="6E4CE6D8" w:rsidR="00CF7329" w:rsidRDefault="00CF7329" w:rsidP="004A191B">
      <w:pPr>
        <w:spacing w:after="0" w:line="240" w:lineRule="auto"/>
        <w:rPr>
          <w:i/>
        </w:rPr>
      </w:pPr>
    </w:p>
    <w:p w14:paraId="1740CDBA" w14:textId="2C2129B8" w:rsidR="00CF7329" w:rsidRDefault="00CF7329" w:rsidP="004A191B">
      <w:pPr>
        <w:spacing w:after="0" w:line="240" w:lineRule="auto"/>
        <w:rPr>
          <w:i/>
        </w:rPr>
      </w:pPr>
    </w:p>
    <w:p w14:paraId="0F4A46D2" w14:textId="2F8BAB00" w:rsidR="00CF7329" w:rsidRDefault="00CF7329" w:rsidP="004A191B">
      <w:pPr>
        <w:spacing w:after="0" w:line="240" w:lineRule="auto"/>
        <w:rPr>
          <w:i/>
        </w:rPr>
      </w:pPr>
    </w:p>
    <w:p w14:paraId="1C2BE822" w14:textId="5B751E9E" w:rsidR="00CF7329" w:rsidRDefault="00CF7329" w:rsidP="004A191B">
      <w:pPr>
        <w:spacing w:after="0" w:line="240" w:lineRule="auto"/>
        <w:rPr>
          <w:i/>
        </w:rPr>
      </w:pPr>
    </w:p>
    <w:p w14:paraId="37246B11" w14:textId="0B2C3296" w:rsidR="00CF7329" w:rsidRDefault="00CF7329" w:rsidP="004A191B">
      <w:pPr>
        <w:spacing w:after="0" w:line="240" w:lineRule="auto"/>
        <w:rPr>
          <w:i/>
        </w:rPr>
      </w:pPr>
    </w:p>
    <w:p w14:paraId="399D5BF1" w14:textId="64DCEFE9" w:rsidR="00CF7329" w:rsidRDefault="00CF7329" w:rsidP="004A191B">
      <w:pPr>
        <w:spacing w:after="0" w:line="240" w:lineRule="auto"/>
        <w:rPr>
          <w:i/>
        </w:rPr>
      </w:pPr>
    </w:p>
    <w:p w14:paraId="0AECA2CD" w14:textId="332E4E31" w:rsidR="00CF7329" w:rsidRDefault="00CF7329" w:rsidP="004A191B">
      <w:pPr>
        <w:spacing w:after="0" w:line="240" w:lineRule="auto"/>
        <w:rPr>
          <w:i/>
        </w:rPr>
      </w:pPr>
    </w:p>
    <w:p w14:paraId="127A7EBA" w14:textId="005C5FA5" w:rsidR="00CF7329" w:rsidRDefault="00CF7329" w:rsidP="004A191B">
      <w:pPr>
        <w:spacing w:after="0" w:line="240" w:lineRule="auto"/>
        <w:rPr>
          <w:i/>
        </w:rPr>
      </w:pPr>
    </w:p>
    <w:p w14:paraId="72CDE7A6" w14:textId="603CB9AD" w:rsidR="00CF7329" w:rsidRDefault="00CF7329" w:rsidP="004A191B">
      <w:pPr>
        <w:spacing w:after="0" w:line="240" w:lineRule="auto"/>
        <w:rPr>
          <w:i/>
        </w:rPr>
      </w:pPr>
    </w:p>
    <w:p w14:paraId="14ABF924" w14:textId="2481A502" w:rsidR="00CF7329" w:rsidRDefault="00CF7329" w:rsidP="004A191B">
      <w:pPr>
        <w:spacing w:after="0" w:line="240" w:lineRule="auto"/>
        <w:rPr>
          <w:i/>
        </w:rPr>
      </w:pPr>
    </w:p>
    <w:p w14:paraId="1CA409C8" w14:textId="5C17FF24" w:rsidR="00CF7329" w:rsidRDefault="00CF7329" w:rsidP="004A191B">
      <w:pPr>
        <w:spacing w:after="0" w:line="240" w:lineRule="auto"/>
        <w:rPr>
          <w:i/>
        </w:rPr>
      </w:pPr>
    </w:p>
    <w:p w14:paraId="1FA3FED7" w14:textId="7174541F" w:rsidR="00CF7329" w:rsidRDefault="00CF7329" w:rsidP="004A191B">
      <w:pPr>
        <w:spacing w:after="0" w:line="240" w:lineRule="auto"/>
        <w:rPr>
          <w:i/>
        </w:rPr>
      </w:pPr>
    </w:p>
    <w:p w14:paraId="16CC172F" w14:textId="2EA22B89" w:rsidR="00CF7329" w:rsidRDefault="00CF7329" w:rsidP="004A191B">
      <w:pPr>
        <w:spacing w:after="0" w:line="240" w:lineRule="auto"/>
        <w:rPr>
          <w:i/>
        </w:rPr>
      </w:pPr>
    </w:p>
    <w:p w14:paraId="1E6CE8DC" w14:textId="532DFB57" w:rsidR="00CF7329" w:rsidRDefault="00CF7329" w:rsidP="004A191B">
      <w:pPr>
        <w:spacing w:after="0" w:line="240" w:lineRule="auto"/>
        <w:rPr>
          <w:i/>
        </w:rPr>
      </w:pPr>
    </w:p>
    <w:p w14:paraId="26101405" w14:textId="51DCCE5F" w:rsidR="00CF7329" w:rsidRDefault="00CF7329" w:rsidP="004A191B">
      <w:pPr>
        <w:spacing w:after="0" w:line="240" w:lineRule="auto"/>
        <w:rPr>
          <w:i/>
        </w:rPr>
      </w:pPr>
    </w:p>
    <w:p w14:paraId="1EE5E217" w14:textId="741F3C15" w:rsidR="00CF7329" w:rsidRDefault="00CF7329" w:rsidP="004A191B">
      <w:pPr>
        <w:spacing w:after="0" w:line="240" w:lineRule="auto"/>
        <w:rPr>
          <w:i/>
        </w:rPr>
      </w:pPr>
    </w:p>
    <w:p w14:paraId="6D50E684" w14:textId="53A83D94" w:rsidR="00CF7329" w:rsidRDefault="00CF7329" w:rsidP="004A191B">
      <w:pPr>
        <w:spacing w:after="0" w:line="240" w:lineRule="auto"/>
        <w:rPr>
          <w:i/>
        </w:rPr>
      </w:pPr>
    </w:p>
    <w:p w14:paraId="784F38B2" w14:textId="123EEE04" w:rsidR="00CF7329" w:rsidRDefault="00CF7329" w:rsidP="004A191B">
      <w:pPr>
        <w:spacing w:after="0" w:line="240" w:lineRule="auto"/>
        <w:rPr>
          <w:i/>
        </w:rPr>
      </w:pPr>
    </w:p>
    <w:p w14:paraId="133DD1EB" w14:textId="45AADC45" w:rsidR="00CF7329" w:rsidRDefault="00CF7329" w:rsidP="004A191B">
      <w:pPr>
        <w:spacing w:after="0" w:line="240" w:lineRule="auto"/>
        <w:rPr>
          <w:i/>
        </w:rPr>
      </w:pPr>
    </w:p>
    <w:p w14:paraId="46D109E0" w14:textId="5C74A2CD" w:rsidR="00CF7329" w:rsidRDefault="00CF7329" w:rsidP="004A191B">
      <w:pPr>
        <w:spacing w:after="0" w:line="240" w:lineRule="auto"/>
        <w:rPr>
          <w:i/>
        </w:rPr>
      </w:pPr>
    </w:p>
    <w:p w14:paraId="019676CE" w14:textId="045878A2" w:rsidR="00CF7329" w:rsidRDefault="00CF7329" w:rsidP="004A191B">
      <w:pPr>
        <w:spacing w:after="0" w:line="240" w:lineRule="auto"/>
        <w:rPr>
          <w:i/>
        </w:rPr>
      </w:pPr>
    </w:p>
    <w:p w14:paraId="51189061" w14:textId="3667C10C" w:rsidR="00CF7329" w:rsidRDefault="00CF7329" w:rsidP="004A191B">
      <w:pPr>
        <w:spacing w:after="0" w:line="240" w:lineRule="auto"/>
        <w:rPr>
          <w:i/>
        </w:rPr>
      </w:pPr>
    </w:p>
    <w:p w14:paraId="6BCA8F86" w14:textId="10407DF7" w:rsidR="00CF7329" w:rsidRDefault="00CF7329" w:rsidP="00CF7329">
      <w:pPr>
        <w:spacing w:after="0" w:line="240" w:lineRule="auto"/>
        <w:rPr>
          <w:i/>
        </w:rPr>
      </w:pPr>
      <w:r>
        <w:rPr>
          <w:i/>
        </w:rPr>
        <w:lastRenderedPageBreak/>
        <w:t>Appendix Table A5.2:  2018-19 Test Score Data for the ECU Community School and Other, Same-Grade Students in Pitt County Public Schools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85"/>
        <w:gridCol w:w="955"/>
        <w:gridCol w:w="1870"/>
        <w:gridCol w:w="1870"/>
        <w:gridCol w:w="1870"/>
      </w:tblGrid>
      <w:tr w:rsidR="00CF7329" w14:paraId="0B56AA0C" w14:textId="77777777" w:rsidTr="000C2FB1">
        <w:tc>
          <w:tcPr>
            <w:tcW w:w="2785" w:type="dxa"/>
            <w:shd w:val="clear" w:color="auto" w:fill="F2F2F2" w:themeFill="background1" w:themeFillShade="F2"/>
            <w:vAlign w:val="center"/>
          </w:tcPr>
          <w:p w14:paraId="54F104E2" w14:textId="77777777" w:rsidR="00CF7329" w:rsidRPr="00A80F8F" w:rsidRDefault="00CF7329" w:rsidP="000C2FB1">
            <w:pPr>
              <w:jc w:val="center"/>
              <w:rPr>
                <w:sz w:val="18"/>
              </w:rPr>
            </w:pPr>
            <w:r>
              <w:rPr>
                <w:sz w:val="18"/>
              </w:rPr>
              <w:t>Test</w:t>
            </w:r>
          </w:p>
        </w:tc>
        <w:tc>
          <w:tcPr>
            <w:tcW w:w="955" w:type="dxa"/>
            <w:shd w:val="clear" w:color="auto" w:fill="F2F2F2" w:themeFill="background1" w:themeFillShade="F2"/>
            <w:vAlign w:val="center"/>
          </w:tcPr>
          <w:p w14:paraId="3D554006" w14:textId="77777777" w:rsidR="00CF7329" w:rsidRPr="00A80F8F" w:rsidRDefault="00CF7329" w:rsidP="000C2FB1">
            <w:pPr>
              <w:jc w:val="center"/>
              <w:rPr>
                <w:sz w:val="18"/>
              </w:rPr>
            </w:pPr>
            <w:r>
              <w:rPr>
                <w:sz w:val="18"/>
              </w:rPr>
              <w:t>Student Count</w:t>
            </w:r>
          </w:p>
        </w:tc>
        <w:tc>
          <w:tcPr>
            <w:tcW w:w="1870" w:type="dxa"/>
            <w:shd w:val="clear" w:color="auto" w:fill="F2F2F2" w:themeFill="background1" w:themeFillShade="F2"/>
            <w:vAlign w:val="center"/>
          </w:tcPr>
          <w:p w14:paraId="0A85EB91" w14:textId="77777777" w:rsidR="00CF7329" w:rsidRPr="00A80F8F" w:rsidRDefault="00CF7329" w:rsidP="000C2FB1">
            <w:pPr>
              <w:jc w:val="center"/>
              <w:rPr>
                <w:sz w:val="18"/>
              </w:rPr>
            </w:pPr>
            <w:r>
              <w:rPr>
                <w:sz w:val="18"/>
              </w:rPr>
              <w:t>Average Test Score</w:t>
            </w:r>
          </w:p>
        </w:tc>
        <w:tc>
          <w:tcPr>
            <w:tcW w:w="1870" w:type="dxa"/>
            <w:shd w:val="clear" w:color="auto" w:fill="F2F2F2" w:themeFill="background1" w:themeFillShade="F2"/>
            <w:vAlign w:val="center"/>
          </w:tcPr>
          <w:p w14:paraId="4EAAD4CB" w14:textId="77777777" w:rsidR="00CF7329" w:rsidRPr="00A80F8F" w:rsidRDefault="00CF7329" w:rsidP="000C2FB1">
            <w:pPr>
              <w:jc w:val="center"/>
              <w:rPr>
                <w:sz w:val="18"/>
              </w:rPr>
            </w:pPr>
            <w:r>
              <w:rPr>
                <w:sz w:val="18"/>
              </w:rPr>
              <w:t>Percent Below Proficient</w:t>
            </w:r>
          </w:p>
        </w:tc>
        <w:tc>
          <w:tcPr>
            <w:tcW w:w="1870" w:type="dxa"/>
            <w:shd w:val="clear" w:color="auto" w:fill="F2F2F2" w:themeFill="background1" w:themeFillShade="F2"/>
            <w:vAlign w:val="center"/>
          </w:tcPr>
          <w:p w14:paraId="0AB255A7" w14:textId="77777777" w:rsidR="00CF7329" w:rsidRDefault="00CF7329" w:rsidP="000C2FB1">
            <w:pPr>
              <w:jc w:val="center"/>
              <w:rPr>
                <w:sz w:val="18"/>
              </w:rPr>
            </w:pPr>
            <w:r>
              <w:rPr>
                <w:sz w:val="18"/>
              </w:rPr>
              <w:t xml:space="preserve">Percent Proficient </w:t>
            </w:r>
          </w:p>
          <w:p w14:paraId="768C9C57" w14:textId="77777777" w:rsidR="00CF7329" w:rsidRPr="00A80F8F" w:rsidRDefault="00CF7329" w:rsidP="000C2FB1">
            <w:pPr>
              <w:jc w:val="center"/>
              <w:rPr>
                <w:sz w:val="18"/>
              </w:rPr>
            </w:pPr>
            <w:r>
              <w:rPr>
                <w:sz w:val="18"/>
              </w:rPr>
              <w:t>or Above</w:t>
            </w:r>
          </w:p>
        </w:tc>
      </w:tr>
      <w:tr w:rsidR="00CF7329" w14:paraId="506AEE4F" w14:textId="77777777" w:rsidTr="000C2FB1">
        <w:tc>
          <w:tcPr>
            <w:tcW w:w="9350" w:type="dxa"/>
            <w:gridSpan w:val="5"/>
            <w:vAlign w:val="center"/>
          </w:tcPr>
          <w:p w14:paraId="16C64C54" w14:textId="77777777" w:rsidR="00CF7329" w:rsidRPr="00A80F8F" w:rsidRDefault="00CF7329" w:rsidP="000C2FB1">
            <w:pPr>
              <w:jc w:val="center"/>
              <w:rPr>
                <w:i/>
                <w:sz w:val="18"/>
              </w:rPr>
            </w:pPr>
            <w:r>
              <w:rPr>
                <w:i/>
                <w:sz w:val="18"/>
              </w:rPr>
              <w:t>ECU Community School</w:t>
            </w:r>
          </w:p>
        </w:tc>
      </w:tr>
      <w:tr w:rsidR="00CF7329" w14:paraId="24172F32" w14:textId="77777777" w:rsidTr="000C2FB1">
        <w:tc>
          <w:tcPr>
            <w:tcW w:w="2785" w:type="dxa"/>
            <w:vAlign w:val="center"/>
          </w:tcPr>
          <w:p w14:paraId="31452497" w14:textId="77777777" w:rsidR="00CF7329" w:rsidRPr="00A80F8F" w:rsidRDefault="00CF7329" w:rsidP="000C2FB1">
            <w:pPr>
              <w:jc w:val="right"/>
              <w:rPr>
                <w:sz w:val="18"/>
              </w:rPr>
            </w:pPr>
            <w:r>
              <w:rPr>
                <w:sz w:val="18"/>
              </w:rPr>
              <w:t xml:space="preserve"> 3</w:t>
            </w:r>
            <w:r w:rsidRPr="00A80F8F">
              <w:rPr>
                <w:sz w:val="18"/>
                <w:vertAlign w:val="superscript"/>
              </w:rPr>
              <w:t>rd</w:t>
            </w:r>
            <w:r>
              <w:rPr>
                <w:sz w:val="18"/>
              </w:rPr>
              <w:t xml:space="preserve"> Grade Reading</w:t>
            </w:r>
          </w:p>
        </w:tc>
        <w:tc>
          <w:tcPr>
            <w:tcW w:w="955" w:type="dxa"/>
            <w:vAlign w:val="center"/>
          </w:tcPr>
          <w:p w14:paraId="4499912B" w14:textId="77777777" w:rsidR="00CF7329" w:rsidRPr="00A80F8F" w:rsidRDefault="00CF7329" w:rsidP="000C2FB1">
            <w:pPr>
              <w:jc w:val="center"/>
              <w:rPr>
                <w:sz w:val="18"/>
                <w:szCs w:val="18"/>
              </w:rPr>
            </w:pPr>
            <w:r>
              <w:rPr>
                <w:sz w:val="18"/>
                <w:szCs w:val="18"/>
              </w:rPr>
              <w:t>16</w:t>
            </w:r>
          </w:p>
        </w:tc>
        <w:tc>
          <w:tcPr>
            <w:tcW w:w="1870" w:type="dxa"/>
            <w:vAlign w:val="center"/>
          </w:tcPr>
          <w:p w14:paraId="5262F011" w14:textId="77777777" w:rsidR="00CF7329" w:rsidRPr="00A80F8F" w:rsidRDefault="00CF7329" w:rsidP="000C2FB1">
            <w:pPr>
              <w:jc w:val="center"/>
              <w:rPr>
                <w:sz w:val="18"/>
                <w:szCs w:val="18"/>
              </w:rPr>
            </w:pPr>
            <w:r>
              <w:rPr>
                <w:sz w:val="18"/>
                <w:szCs w:val="18"/>
              </w:rPr>
              <w:t>422.56</w:t>
            </w:r>
          </w:p>
        </w:tc>
        <w:tc>
          <w:tcPr>
            <w:tcW w:w="1870" w:type="dxa"/>
            <w:vAlign w:val="center"/>
          </w:tcPr>
          <w:p w14:paraId="38A0A706" w14:textId="77777777" w:rsidR="00CF7329" w:rsidRPr="00A80F8F" w:rsidRDefault="00CF7329" w:rsidP="000C2FB1">
            <w:pPr>
              <w:jc w:val="center"/>
              <w:rPr>
                <w:sz w:val="18"/>
                <w:szCs w:val="18"/>
              </w:rPr>
            </w:pPr>
            <w:r>
              <w:rPr>
                <w:sz w:val="18"/>
                <w:szCs w:val="18"/>
              </w:rPr>
              <w:t>93.75</w:t>
            </w:r>
          </w:p>
        </w:tc>
        <w:tc>
          <w:tcPr>
            <w:tcW w:w="1870" w:type="dxa"/>
            <w:vAlign w:val="center"/>
          </w:tcPr>
          <w:p w14:paraId="06346BC6" w14:textId="77777777" w:rsidR="00CF7329" w:rsidRPr="00A80F8F" w:rsidRDefault="00CF7329" w:rsidP="000C2FB1">
            <w:pPr>
              <w:jc w:val="center"/>
              <w:rPr>
                <w:sz w:val="18"/>
                <w:szCs w:val="18"/>
              </w:rPr>
            </w:pPr>
            <w:r>
              <w:rPr>
                <w:sz w:val="18"/>
                <w:szCs w:val="18"/>
              </w:rPr>
              <w:t>6.25</w:t>
            </w:r>
          </w:p>
        </w:tc>
      </w:tr>
      <w:tr w:rsidR="00CF7329" w14:paraId="35A6AAF0" w14:textId="77777777" w:rsidTr="000C2FB1">
        <w:tc>
          <w:tcPr>
            <w:tcW w:w="2785" w:type="dxa"/>
            <w:vAlign w:val="center"/>
          </w:tcPr>
          <w:p w14:paraId="287A67B5" w14:textId="77777777" w:rsidR="00CF7329" w:rsidRPr="00A80F8F" w:rsidRDefault="00CF7329" w:rsidP="000C2FB1">
            <w:pPr>
              <w:jc w:val="right"/>
              <w:rPr>
                <w:sz w:val="18"/>
              </w:rPr>
            </w:pPr>
            <w:r>
              <w:rPr>
                <w:sz w:val="18"/>
              </w:rPr>
              <w:t>4</w:t>
            </w:r>
            <w:r w:rsidRPr="00A80F8F">
              <w:rPr>
                <w:sz w:val="18"/>
                <w:vertAlign w:val="superscript"/>
              </w:rPr>
              <w:t>th</w:t>
            </w:r>
            <w:r>
              <w:rPr>
                <w:sz w:val="18"/>
              </w:rPr>
              <w:t xml:space="preserve"> Grade Reading</w:t>
            </w:r>
          </w:p>
        </w:tc>
        <w:tc>
          <w:tcPr>
            <w:tcW w:w="955" w:type="dxa"/>
            <w:vAlign w:val="center"/>
          </w:tcPr>
          <w:p w14:paraId="7AE95CB9" w14:textId="77777777" w:rsidR="00CF7329" w:rsidRPr="00A80F8F" w:rsidRDefault="00CF7329" w:rsidP="000C2FB1">
            <w:pPr>
              <w:jc w:val="center"/>
              <w:rPr>
                <w:sz w:val="18"/>
                <w:szCs w:val="18"/>
              </w:rPr>
            </w:pPr>
            <w:r>
              <w:rPr>
                <w:sz w:val="18"/>
                <w:szCs w:val="18"/>
              </w:rPr>
              <w:t>14</w:t>
            </w:r>
          </w:p>
        </w:tc>
        <w:tc>
          <w:tcPr>
            <w:tcW w:w="1870" w:type="dxa"/>
            <w:vAlign w:val="center"/>
          </w:tcPr>
          <w:p w14:paraId="65971A78" w14:textId="77777777" w:rsidR="00CF7329" w:rsidRPr="00A80F8F" w:rsidRDefault="00CF7329" w:rsidP="000C2FB1">
            <w:pPr>
              <w:jc w:val="center"/>
              <w:rPr>
                <w:sz w:val="18"/>
                <w:szCs w:val="18"/>
              </w:rPr>
            </w:pPr>
            <w:r>
              <w:rPr>
                <w:sz w:val="18"/>
                <w:szCs w:val="18"/>
              </w:rPr>
              <w:t>435.78</w:t>
            </w:r>
          </w:p>
        </w:tc>
        <w:tc>
          <w:tcPr>
            <w:tcW w:w="1870" w:type="dxa"/>
            <w:vAlign w:val="center"/>
          </w:tcPr>
          <w:p w14:paraId="70DF51C5" w14:textId="77777777" w:rsidR="00CF7329" w:rsidRPr="00A80F8F" w:rsidRDefault="00CF7329" w:rsidP="000C2FB1">
            <w:pPr>
              <w:jc w:val="center"/>
              <w:rPr>
                <w:sz w:val="18"/>
                <w:szCs w:val="18"/>
              </w:rPr>
            </w:pPr>
            <w:r>
              <w:rPr>
                <w:sz w:val="18"/>
                <w:szCs w:val="18"/>
              </w:rPr>
              <w:t>85.71</w:t>
            </w:r>
          </w:p>
        </w:tc>
        <w:tc>
          <w:tcPr>
            <w:tcW w:w="1870" w:type="dxa"/>
            <w:vAlign w:val="center"/>
          </w:tcPr>
          <w:p w14:paraId="4250ED26" w14:textId="77777777" w:rsidR="00CF7329" w:rsidRPr="00A80F8F" w:rsidRDefault="00CF7329" w:rsidP="000C2FB1">
            <w:pPr>
              <w:jc w:val="center"/>
              <w:rPr>
                <w:sz w:val="18"/>
                <w:szCs w:val="18"/>
              </w:rPr>
            </w:pPr>
            <w:r>
              <w:rPr>
                <w:sz w:val="18"/>
                <w:szCs w:val="18"/>
              </w:rPr>
              <w:t>14.29</w:t>
            </w:r>
          </w:p>
        </w:tc>
      </w:tr>
      <w:tr w:rsidR="00CF7329" w14:paraId="37673956" w14:textId="77777777" w:rsidTr="000C2FB1">
        <w:tc>
          <w:tcPr>
            <w:tcW w:w="2785" w:type="dxa"/>
            <w:vAlign w:val="center"/>
          </w:tcPr>
          <w:p w14:paraId="55F894C0" w14:textId="77777777" w:rsidR="00CF7329" w:rsidRDefault="00CF7329" w:rsidP="000C2FB1">
            <w:pPr>
              <w:jc w:val="right"/>
              <w:rPr>
                <w:sz w:val="18"/>
              </w:rPr>
            </w:pPr>
            <w:r>
              <w:rPr>
                <w:sz w:val="18"/>
              </w:rPr>
              <w:t>5</w:t>
            </w:r>
            <w:r w:rsidRPr="00C81CA9">
              <w:rPr>
                <w:sz w:val="18"/>
                <w:vertAlign w:val="superscript"/>
              </w:rPr>
              <w:t>th</w:t>
            </w:r>
            <w:r>
              <w:rPr>
                <w:sz w:val="18"/>
              </w:rPr>
              <w:t xml:space="preserve"> Grade Reading</w:t>
            </w:r>
          </w:p>
        </w:tc>
        <w:tc>
          <w:tcPr>
            <w:tcW w:w="955" w:type="dxa"/>
            <w:vAlign w:val="center"/>
          </w:tcPr>
          <w:p w14:paraId="3C6F623E" w14:textId="77777777" w:rsidR="00CF7329" w:rsidRPr="00A80F8F" w:rsidRDefault="00CF7329" w:rsidP="000C2FB1">
            <w:pPr>
              <w:jc w:val="center"/>
              <w:rPr>
                <w:sz w:val="18"/>
                <w:szCs w:val="18"/>
              </w:rPr>
            </w:pPr>
            <w:r>
              <w:rPr>
                <w:sz w:val="18"/>
                <w:szCs w:val="18"/>
              </w:rPr>
              <w:t>14</w:t>
            </w:r>
          </w:p>
        </w:tc>
        <w:tc>
          <w:tcPr>
            <w:tcW w:w="1870" w:type="dxa"/>
            <w:vAlign w:val="center"/>
          </w:tcPr>
          <w:p w14:paraId="1818ABDC" w14:textId="77777777" w:rsidR="00CF7329" w:rsidRPr="00A80F8F" w:rsidRDefault="00CF7329" w:rsidP="000C2FB1">
            <w:pPr>
              <w:jc w:val="center"/>
              <w:rPr>
                <w:sz w:val="18"/>
                <w:szCs w:val="18"/>
              </w:rPr>
            </w:pPr>
            <w:r>
              <w:rPr>
                <w:sz w:val="18"/>
                <w:szCs w:val="18"/>
              </w:rPr>
              <w:t>439.21</w:t>
            </w:r>
          </w:p>
        </w:tc>
        <w:tc>
          <w:tcPr>
            <w:tcW w:w="1870" w:type="dxa"/>
            <w:vAlign w:val="center"/>
          </w:tcPr>
          <w:p w14:paraId="0585C768" w14:textId="77777777" w:rsidR="00CF7329" w:rsidRPr="00A80F8F" w:rsidRDefault="00CF7329" w:rsidP="000C2FB1">
            <w:pPr>
              <w:jc w:val="center"/>
              <w:rPr>
                <w:sz w:val="18"/>
                <w:szCs w:val="18"/>
              </w:rPr>
            </w:pPr>
            <w:r>
              <w:rPr>
                <w:sz w:val="18"/>
                <w:szCs w:val="18"/>
              </w:rPr>
              <w:t>100.00</w:t>
            </w:r>
          </w:p>
        </w:tc>
        <w:tc>
          <w:tcPr>
            <w:tcW w:w="1870" w:type="dxa"/>
            <w:vAlign w:val="center"/>
          </w:tcPr>
          <w:p w14:paraId="783F81E5" w14:textId="77777777" w:rsidR="00CF7329" w:rsidRPr="00A80F8F" w:rsidRDefault="00CF7329" w:rsidP="000C2FB1">
            <w:pPr>
              <w:jc w:val="center"/>
              <w:rPr>
                <w:sz w:val="18"/>
                <w:szCs w:val="18"/>
              </w:rPr>
            </w:pPr>
            <w:r>
              <w:rPr>
                <w:sz w:val="18"/>
                <w:szCs w:val="18"/>
              </w:rPr>
              <w:t>0.00</w:t>
            </w:r>
          </w:p>
        </w:tc>
      </w:tr>
      <w:tr w:rsidR="00CF7329" w14:paraId="6993E374" w14:textId="77777777" w:rsidTr="000C2FB1">
        <w:tc>
          <w:tcPr>
            <w:tcW w:w="2785" w:type="dxa"/>
            <w:vAlign w:val="center"/>
          </w:tcPr>
          <w:p w14:paraId="0E0F578F" w14:textId="77777777" w:rsidR="00CF7329" w:rsidRPr="00A80F8F" w:rsidRDefault="00CF7329" w:rsidP="000C2FB1">
            <w:pPr>
              <w:jc w:val="right"/>
              <w:rPr>
                <w:sz w:val="18"/>
              </w:rPr>
            </w:pPr>
            <w:r>
              <w:rPr>
                <w:sz w:val="18"/>
              </w:rPr>
              <w:t>3</w:t>
            </w:r>
            <w:r w:rsidRPr="00A80F8F">
              <w:rPr>
                <w:sz w:val="18"/>
                <w:vertAlign w:val="superscript"/>
              </w:rPr>
              <w:t>rd</w:t>
            </w:r>
            <w:r>
              <w:rPr>
                <w:sz w:val="18"/>
              </w:rPr>
              <w:t xml:space="preserve"> Grade Math</w:t>
            </w:r>
          </w:p>
        </w:tc>
        <w:tc>
          <w:tcPr>
            <w:tcW w:w="955" w:type="dxa"/>
            <w:vAlign w:val="center"/>
          </w:tcPr>
          <w:p w14:paraId="7D9ECF14" w14:textId="77777777" w:rsidR="00CF7329" w:rsidRPr="00A80F8F" w:rsidRDefault="00CF7329" w:rsidP="000C2FB1">
            <w:pPr>
              <w:jc w:val="center"/>
              <w:rPr>
                <w:sz w:val="18"/>
                <w:szCs w:val="18"/>
              </w:rPr>
            </w:pPr>
            <w:r>
              <w:rPr>
                <w:sz w:val="18"/>
                <w:szCs w:val="18"/>
              </w:rPr>
              <w:t>16</w:t>
            </w:r>
          </w:p>
        </w:tc>
        <w:tc>
          <w:tcPr>
            <w:tcW w:w="1870" w:type="dxa"/>
            <w:vAlign w:val="center"/>
          </w:tcPr>
          <w:p w14:paraId="507B3311" w14:textId="77777777" w:rsidR="00CF7329" w:rsidRPr="00A80F8F" w:rsidRDefault="00CF7329" w:rsidP="000C2FB1">
            <w:pPr>
              <w:jc w:val="center"/>
              <w:rPr>
                <w:sz w:val="18"/>
                <w:szCs w:val="18"/>
              </w:rPr>
            </w:pPr>
            <w:r>
              <w:rPr>
                <w:sz w:val="18"/>
                <w:szCs w:val="18"/>
              </w:rPr>
              <w:t>535.81</w:t>
            </w:r>
          </w:p>
        </w:tc>
        <w:tc>
          <w:tcPr>
            <w:tcW w:w="1870" w:type="dxa"/>
            <w:vAlign w:val="center"/>
          </w:tcPr>
          <w:p w14:paraId="2162F64F" w14:textId="77777777" w:rsidR="00CF7329" w:rsidRPr="00A80F8F" w:rsidRDefault="00CF7329" w:rsidP="000C2FB1">
            <w:pPr>
              <w:jc w:val="center"/>
              <w:rPr>
                <w:sz w:val="18"/>
                <w:szCs w:val="18"/>
              </w:rPr>
            </w:pPr>
            <w:r>
              <w:rPr>
                <w:sz w:val="18"/>
                <w:szCs w:val="18"/>
              </w:rPr>
              <w:t>100.00</w:t>
            </w:r>
          </w:p>
        </w:tc>
        <w:tc>
          <w:tcPr>
            <w:tcW w:w="1870" w:type="dxa"/>
            <w:vAlign w:val="center"/>
          </w:tcPr>
          <w:p w14:paraId="6C8FF416" w14:textId="77777777" w:rsidR="00CF7329" w:rsidRPr="00A80F8F" w:rsidRDefault="00CF7329" w:rsidP="000C2FB1">
            <w:pPr>
              <w:jc w:val="center"/>
              <w:rPr>
                <w:sz w:val="18"/>
                <w:szCs w:val="18"/>
              </w:rPr>
            </w:pPr>
            <w:r>
              <w:rPr>
                <w:sz w:val="18"/>
                <w:szCs w:val="18"/>
              </w:rPr>
              <w:t>0.00</w:t>
            </w:r>
          </w:p>
        </w:tc>
      </w:tr>
      <w:tr w:rsidR="00CF7329" w14:paraId="5D06C5C7" w14:textId="77777777" w:rsidTr="000C2FB1">
        <w:tc>
          <w:tcPr>
            <w:tcW w:w="2785" w:type="dxa"/>
            <w:vAlign w:val="center"/>
          </w:tcPr>
          <w:p w14:paraId="6989D5E5" w14:textId="77777777" w:rsidR="00CF7329" w:rsidRPr="00A80F8F" w:rsidRDefault="00CF7329" w:rsidP="000C2FB1">
            <w:pPr>
              <w:jc w:val="right"/>
              <w:rPr>
                <w:sz w:val="18"/>
              </w:rPr>
            </w:pPr>
            <w:r>
              <w:rPr>
                <w:sz w:val="18"/>
              </w:rPr>
              <w:t>4</w:t>
            </w:r>
            <w:r w:rsidRPr="00A80F8F">
              <w:rPr>
                <w:sz w:val="18"/>
                <w:vertAlign w:val="superscript"/>
              </w:rPr>
              <w:t>th</w:t>
            </w:r>
            <w:r>
              <w:rPr>
                <w:sz w:val="18"/>
              </w:rPr>
              <w:t xml:space="preserve"> Grade Math</w:t>
            </w:r>
          </w:p>
        </w:tc>
        <w:tc>
          <w:tcPr>
            <w:tcW w:w="955" w:type="dxa"/>
            <w:vAlign w:val="center"/>
          </w:tcPr>
          <w:p w14:paraId="67DF9C96" w14:textId="77777777" w:rsidR="00CF7329" w:rsidRPr="00A80F8F" w:rsidRDefault="00CF7329" w:rsidP="000C2FB1">
            <w:pPr>
              <w:jc w:val="center"/>
              <w:rPr>
                <w:sz w:val="18"/>
                <w:szCs w:val="18"/>
              </w:rPr>
            </w:pPr>
            <w:r>
              <w:rPr>
                <w:sz w:val="18"/>
                <w:szCs w:val="18"/>
              </w:rPr>
              <w:t>14</w:t>
            </w:r>
          </w:p>
        </w:tc>
        <w:tc>
          <w:tcPr>
            <w:tcW w:w="1870" w:type="dxa"/>
            <w:vAlign w:val="center"/>
          </w:tcPr>
          <w:p w14:paraId="08872400" w14:textId="77777777" w:rsidR="00CF7329" w:rsidRPr="00A80F8F" w:rsidRDefault="00CF7329" w:rsidP="000C2FB1">
            <w:pPr>
              <w:jc w:val="center"/>
              <w:rPr>
                <w:sz w:val="18"/>
                <w:szCs w:val="18"/>
              </w:rPr>
            </w:pPr>
            <w:r>
              <w:rPr>
                <w:sz w:val="18"/>
                <w:szCs w:val="18"/>
              </w:rPr>
              <w:t>537.86</w:t>
            </w:r>
          </w:p>
        </w:tc>
        <w:tc>
          <w:tcPr>
            <w:tcW w:w="1870" w:type="dxa"/>
            <w:vAlign w:val="center"/>
          </w:tcPr>
          <w:p w14:paraId="437CD0FE" w14:textId="77777777" w:rsidR="00CF7329" w:rsidRPr="00A80F8F" w:rsidRDefault="00CF7329" w:rsidP="000C2FB1">
            <w:pPr>
              <w:jc w:val="center"/>
              <w:rPr>
                <w:sz w:val="18"/>
                <w:szCs w:val="18"/>
              </w:rPr>
            </w:pPr>
            <w:r>
              <w:rPr>
                <w:sz w:val="18"/>
                <w:szCs w:val="18"/>
              </w:rPr>
              <w:t>100.00</w:t>
            </w:r>
          </w:p>
        </w:tc>
        <w:tc>
          <w:tcPr>
            <w:tcW w:w="1870" w:type="dxa"/>
            <w:vAlign w:val="center"/>
          </w:tcPr>
          <w:p w14:paraId="266A7492" w14:textId="77777777" w:rsidR="00CF7329" w:rsidRPr="00A80F8F" w:rsidRDefault="00CF7329" w:rsidP="000C2FB1">
            <w:pPr>
              <w:jc w:val="center"/>
              <w:rPr>
                <w:sz w:val="18"/>
                <w:szCs w:val="18"/>
              </w:rPr>
            </w:pPr>
            <w:r>
              <w:rPr>
                <w:sz w:val="18"/>
                <w:szCs w:val="18"/>
              </w:rPr>
              <w:t>0.00</w:t>
            </w:r>
          </w:p>
        </w:tc>
      </w:tr>
      <w:tr w:rsidR="00CF7329" w14:paraId="5D532879" w14:textId="77777777" w:rsidTr="000C2FB1">
        <w:tc>
          <w:tcPr>
            <w:tcW w:w="2785" w:type="dxa"/>
            <w:vAlign w:val="center"/>
          </w:tcPr>
          <w:p w14:paraId="67DE3ABB" w14:textId="77777777" w:rsidR="00CF7329" w:rsidRDefault="00CF7329" w:rsidP="000C2FB1">
            <w:pPr>
              <w:jc w:val="right"/>
              <w:rPr>
                <w:sz w:val="18"/>
              </w:rPr>
            </w:pPr>
            <w:r>
              <w:rPr>
                <w:sz w:val="18"/>
              </w:rPr>
              <w:t>5</w:t>
            </w:r>
            <w:r w:rsidRPr="00C81CA9">
              <w:rPr>
                <w:sz w:val="18"/>
                <w:vertAlign w:val="superscript"/>
              </w:rPr>
              <w:t>th</w:t>
            </w:r>
            <w:r>
              <w:rPr>
                <w:sz w:val="18"/>
              </w:rPr>
              <w:t xml:space="preserve"> Grade Math</w:t>
            </w:r>
          </w:p>
        </w:tc>
        <w:tc>
          <w:tcPr>
            <w:tcW w:w="955" w:type="dxa"/>
            <w:vAlign w:val="center"/>
          </w:tcPr>
          <w:p w14:paraId="53801729" w14:textId="77777777" w:rsidR="00CF7329" w:rsidRPr="00A80F8F" w:rsidRDefault="00CF7329" w:rsidP="000C2FB1">
            <w:pPr>
              <w:jc w:val="center"/>
              <w:rPr>
                <w:sz w:val="18"/>
                <w:szCs w:val="18"/>
              </w:rPr>
            </w:pPr>
            <w:r>
              <w:rPr>
                <w:sz w:val="18"/>
                <w:szCs w:val="18"/>
              </w:rPr>
              <w:t>14</w:t>
            </w:r>
          </w:p>
        </w:tc>
        <w:tc>
          <w:tcPr>
            <w:tcW w:w="1870" w:type="dxa"/>
            <w:vAlign w:val="center"/>
          </w:tcPr>
          <w:p w14:paraId="74056A11" w14:textId="77777777" w:rsidR="00CF7329" w:rsidRPr="00A80F8F" w:rsidRDefault="00CF7329" w:rsidP="000C2FB1">
            <w:pPr>
              <w:jc w:val="center"/>
              <w:rPr>
                <w:sz w:val="18"/>
                <w:szCs w:val="18"/>
              </w:rPr>
            </w:pPr>
            <w:r>
              <w:rPr>
                <w:sz w:val="18"/>
                <w:szCs w:val="18"/>
              </w:rPr>
              <w:t>538.57</w:t>
            </w:r>
          </w:p>
        </w:tc>
        <w:tc>
          <w:tcPr>
            <w:tcW w:w="1870" w:type="dxa"/>
            <w:vAlign w:val="center"/>
          </w:tcPr>
          <w:p w14:paraId="0EC2F6C7" w14:textId="77777777" w:rsidR="00CF7329" w:rsidRPr="00A80F8F" w:rsidRDefault="00CF7329" w:rsidP="000C2FB1">
            <w:pPr>
              <w:jc w:val="center"/>
              <w:rPr>
                <w:sz w:val="18"/>
                <w:szCs w:val="18"/>
              </w:rPr>
            </w:pPr>
            <w:r>
              <w:rPr>
                <w:sz w:val="18"/>
                <w:szCs w:val="18"/>
              </w:rPr>
              <w:t>78.57</w:t>
            </w:r>
          </w:p>
        </w:tc>
        <w:tc>
          <w:tcPr>
            <w:tcW w:w="1870" w:type="dxa"/>
            <w:vAlign w:val="center"/>
          </w:tcPr>
          <w:p w14:paraId="6881F9A5" w14:textId="77777777" w:rsidR="00CF7329" w:rsidRPr="00A80F8F" w:rsidRDefault="00CF7329" w:rsidP="000C2FB1">
            <w:pPr>
              <w:jc w:val="center"/>
              <w:rPr>
                <w:sz w:val="18"/>
                <w:szCs w:val="18"/>
              </w:rPr>
            </w:pPr>
            <w:r>
              <w:rPr>
                <w:sz w:val="18"/>
                <w:szCs w:val="18"/>
              </w:rPr>
              <w:t>21.43</w:t>
            </w:r>
          </w:p>
        </w:tc>
      </w:tr>
      <w:tr w:rsidR="00CF7329" w14:paraId="0F42E51E" w14:textId="77777777" w:rsidTr="000C2FB1">
        <w:tc>
          <w:tcPr>
            <w:tcW w:w="2785" w:type="dxa"/>
            <w:vAlign w:val="center"/>
          </w:tcPr>
          <w:p w14:paraId="5A449B9F" w14:textId="77777777" w:rsidR="00CF7329" w:rsidRDefault="00CF7329" w:rsidP="000C2FB1">
            <w:pPr>
              <w:jc w:val="right"/>
              <w:rPr>
                <w:sz w:val="18"/>
              </w:rPr>
            </w:pPr>
            <w:r>
              <w:rPr>
                <w:sz w:val="18"/>
              </w:rPr>
              <w:t>5</w:t>
            </w:r>
            <w:r w:rsidRPr="00C81CA9">
              <w:rPr>
                <w:sz w:val="18"/>
                <w:vertAlign w:val="superscript"/>
              </w:rPr>
              <w:t>th</w:t>
            </w:r>
            <w:r>
              <w:rPr>
                <w:sz w:val="18"/>
              </w:rPr>
              <w:t xml:space="preserve"> Grade Science</w:t>
            </w:r>
          </w:p>
        </w:tc>
        <w:tc>
          <w:tcPr>
            <w:tcW w:w="955" w:type="dxa"/>
            <w:vAlign w:val="center"/>
          </w:tcPr>
          <w:p w14:paraId="151311A9" w14:textId="77777777" w:rsidR="00CF7329" w:rsidRPr="00A80F8F" w:rsidRDefault="00CF7329" w:rsidP="000C2FB1">
            <w:pPr>
              <w:jc w:val="center"/>
              <w:rPr>
                <w:sz w:val="18"/>
                <w:szCs w:val="18"/>
              </w:rPr>
            </w:pPr>
            <w:r>
              <w:rPr>
                <w:sz w:val="18"/>
                <w:szCs w:val="18"/>
              </w:rPr>
              <w:t>14</w:t>
            </w:r>
          </w:p>
        </w:tc>
        <w:tc>
          <w:tcPr>
            <w:tcW w:w="1870" w:type="dxa"/>
            <w:vAlign w:val="center"/>
          </w:tcPr>
          <w:p w14:paraId="17992D48" w14:textId="77777777" w:rsidR="00CF7329" w:rsidRPr="00A80F8F" w:rsidRDefault="00CF7329" w:rsidP="000C2FB1">
            <w:pPr>
              <w:jc w:val="center"/>
              <w:rPr>
                <w:sz w:val="18"/>
                <w:szCs w:val="18"/>
              </w:rPr>
            </w:pPr>
            <w:r>
              <w:rPr>
                <w:sz w:val="18"/>
                <w:szCs w:val="18"/>
              </w:rPr>
              <w:t>247.50</w:t>
            </w:r>
          </w:p>
        </w:tc>
        <w:tc>
          <w:tcPr>
            <w:tcW w:w="1870" w:type="dxa"/>
            <w:vAlign w:val="center"/>
          </w:tcPr>
          <w:p w14:paraId="6A6ACF10" w14:textId="77777777" w:rsidR="00CF7329" w:rsidRPr="00A80F8F" w:rsidRDefault="00CF7329" w:rsidP="000C2FB1">
            <w:pPr>
              <w:jc w:val="center"/>
              <w:rPr>
                <w:sz w:val="18"/>
                <w:szCs w:val="18"/>
              </w:rPr>
            </w:pPr>
            <w:r>
              <w:rPr>
                <w:sz w:val="18"/>
                <w:szCs w:val="18"/>
              </w:rPr>
              <w:t>42.86</w:t>
            </w:r>
          </w:p>
        </w:tc>
        <w:tc>
          <w:tcPr>
            <w:tcW w:w="1870" w:type="dxa"/>
            <w:vAlign w:val="center"/>
          </w:tcPr>
          <w:p w14:paraId="1E968396" w14:textId="77777777" w:rsidR="00CF7329" w:rsidRPr="00A80F8F" w:rsidRDefault="00CF7329" w:rsidP="000C2FB1">
            <w:pPr>
              <w:jc w:val="center"/>
              <w:rPr>
                <w:sz w:val="18"/>
                <w:szCs w:val="18"/>
              </w:rPr>
            </w:pPr>
            <w:r>
              <w:rPr>
                <w:sz w:val="18"/>
                <w:szCs w:val="18"/>
              </w:rPr>
              <w:t>57.14</w:t>
            </w:r>
          </w:p>
        </w:tc>
      </w:tr>
      <w:tr w:rsidR="00CF7329" w14:paraId="35B3BEB0" w14:textId="77777777" w:rsidTr="000C2FB1">
        <w:tc>
          <w:tcPr>
            <w:tcW w:w="9350" w:type="dxa"/>
            <w:gridSpan w:val="5"/>
            <w:vAlign w:val="center"/>
          </w:tcPr>
          <w:p w14:paraId="145C584A" w14:textId="77777777" w:rsidR="00CF7329" w:rsidRPr="00A80F8F" w:rsidRDefault="00CF7329" w:rsidP="000C2FB1">
            <w:pPr>
              <w:jc w:val="center"/>
              <w:rPr>
                <w:i/>
                <w:sz w:val="18"/>
                <w:szCs w:val="18"/>
              </w:rPr>
            </w:pPr>
            <w:r>
              <w:rPr>
                <w:i/>
                <w:sz w:val="18"/>
                <w:szCs w:val="18"/>
              </w:rPr>
              <w:t>All Other Pitt County Students</w:t>
            </w:r>
          </w:p>
        </w:tc>
      </w:tr>
      <w:tr w:rsidR="00CF7329" w14:paraId="331EFBAA" w14:textId="77777777" w:rsidTr="000C2FB1">
        <w:tc>
          <w:tcPr>
            <w:tcW w:w="2785" w:type="dxa"/>
            <w:vAlign w:val="center"/>
          </w:tcPr>
          <w:p w14:paraId="4BA73B6E" w14:textId="77777777" w:rsidR="00CF7329" w:rsidRPr="00A80F8F" w:rsidRDefault="00CF7329" w:rsidP="000C2FB1">
            <w:pPr>
              <w:jc w:val="right"/>
              <w:rPr>
                <w:sz w:val="18"/>
              </w:rPr>
            </w:pPr>
            <w:r>
              <w:rPr>
                <w:sz w:val="18"/>
              </w:rPr>
              <w:t xml:space="preserve"> 3</w:t>
            </w:r>
            <w:r w:rsidRPr="00A80F8F">
              <w:rPr>
                <w:sz w:val="18"/>
                <w:vertAlign w:val="superscript"/>
              </w:rPr>
              <w:t>rd</w:t>
            </w:r>
            <w:r>
              <w:rPr>
                <w:sz w:val="18"/>
              </w:rPr>
              <w:t xml:space="preserve"> Grade Reading</w:t>
            </w:r>
          </w:p>
        </w:tc>
        <w:tc>
          <w:tcPr>
            <w:tcW w:w="955" w:type="dxa"/>
            <w:vAlign w:val="center"/>
          </w:tcPr>
          <w:p w14:paraId="699FCE77" w14:textId="77777777" w:rsidR="00CF7329" w:rsidRPr="00A80F8F" w:rsidRDefault="00CF7329" w:rsidP="000C2FB1">
            <w:pPr>
              <w:jc w:val="center"/>
              <w:rPr>
                <w:sz w:val="18"/>
                <w:szCs w:val="18"/>
              </w:rPr>
            </w:pPr>
            <w:r>
              <w:rPr>
                <w:sz w:val="18"/>
                <w:szCs w:val="18"/>
              </w:rPr>
              <w:t>1,763</w:t>
            </w:r>
          </w:p>
        </w:tc>
        <w:tc>
          <w:tcPr>
            <w:tcW w:w="1870" w:type="dxa"/>
            <w:vAlign w:val="center"/>
          </w:tcPr>
          <w:p w14:paraId="32C08D76" w14:textId="77777777" w:rsidR="00CF7329" w:rsidRPr="00A80F8F" w:rsidRDefault="00CF7329" w:rsidP="000C2FB1">
            <w:pPr>
              <w:jc w:val="center"/>
              <w:rPr>
                <w:sz w:val="18"/>
                <w:szCs w:val="18"/>
              </w:rPr>
            </w:pPr>
            <w:r>
              <w:rPr>
                <w:sz w:val="18"/>
                <w:szCs w:val="18"/>
              </w:rPr>
              <w:t>437.82</w:t>
            </w:r>
          </w:p>
        </w:tc>
        <w:tc>
          <w:tcPr>
            <w:tcW w:w="1870" w:type="dxa"/>
            <w:vAlign w:val="center"/>
          </w:tcPr>
          <w:p w14:paraId="1FFFC6BB" w14:textId="77777777" w:rsidR="00CF7329" w:rsidRPr="00A80F8F" w:rsidRDefault="00CF7329" w:rsidP="000C2FB1">
            <w:pPr>
              <w:jc w:val="center"/>
              <w:rPr>
                <w:sz w:val="18"/>
                <w:szCs w:val="18"/>
              </w:rPr>
            </w:pPr>
            <w:r>
              <w:rPr>
                <w:sz w:val="18"/>
                <w:szCs w:val="18"/>
              </w:rPr>
              <w:t>47.76</w:t>
            </w:r>
          </w:p>
        </w:tc>
        <w:tc>
          <w:tcPr>
            <w:tcW w:w="1870" w:type="dxa"/>
            <w:vAlign w:val="center"/>
          </w:tcPr>
          <w:p w14:paraId="3277A5C3" w14:textId="77777777" w:rsidR="00CF7329" w:rsidRPr="00A80F8F" w:rsidRDefault="00CF7329" w:rsidP="000C2FB1">
            <w:pPr>
              <w:jc w:val="center"/>
              <w:rPr>
                <w:sz w:val="18"/>
                <w:szCs w:val="18"/>
              </w:rPr>
            </w:pPr>
            <w:r>
              <w:rPr>
                <w:sz w:val="18"/>
                <w:szCs w:val="18"/>
              </w:rPr>
              <w:t>52.24</w:t>
            </w:r>
          </w:p>
        </w:tc>
      </w:tr>
      <w:tr w:rsidR="00CF7329" w14:paraId="6AD7DD99" w14:textId="77777777" w:rsidTr="000C2FB1">
        <w:tc>
          <w:tcPr>
            <w:tcW w:w="2785" w:type="dxa"/>
            <w:vAlign w:val="center"/>
          </w:tcPr>
          <w:p w14:paraId="46A969B8" w14:textId="77777777" w:rsidR="00CF7329" w:rsidRPr="00A80F8F" w:rsidRDefault="00CF7329" w:rsidP="000C2FB1">
            <w:pPr>
              <w:jc w:val="right"/>
              <w:rPr>
                <w:sz w:val="18"/>
              </w:rPr>
            </w:pPr>
            <w:r>
              <w:rPr>
                <w:sz w:val="18"/>
              </w:rPr>
              <w:t>4</w:t>
            </w:r>
            <w:r w:rsidRPr="00A80F8F">
              <w:rPr>
                <w:sz w:val="18"/>
                <w:vertAlign w:val="superscript"/>
              </w:rPr>
              <w:t>th</w:t>
            </w:r>
            <w:r>
              <w:rPr>
                <w:sz w:val="18"/>
              </w:rPr>
              <w:t xml:space="preserve"> Grade Reading</w:t>
            </w:r>
          </w:p>
        </w:tc>
        <w:tc>
          <w:tcPr>
            <w:tcW w:w="955" w:type="dxa"/>
            <w:vAlign w:val="center"/>
          </w:tcPr>
          <w:p w14:paraId="6C49A430" w14:textId="77777777" w:rsidR="00CF7329" w:rsidRPr="00A80F8F" w:rsidRDefault="00CF7329" w:rsidP="000C2FB1">
            <w:pPr>
              <w:jc w:val="center"/>
              <w:rPr>
                <w:sz w:val="18"/>
                <w:szCs w:val="18"/>
              </w:rPr>
            </w:pPr>
            <w:r>
              <w:rPr>
                <w:sz w:val="18"/>
                <w:szCs w:val="18"/>
              </w:rPr>
              <w:t>1,866</w:t>
            </w:r>
          </w:p>
        </w:tc>
        <w:tc>
          <w:tcPr>
            <w:tcW w:w="1870" w:type="dxa"/>
            <w:vAlign w:val="center"/>
          </w:tcPr>
          <w:p w14:paraId="602CB84D" w14:textId="77777777" w:rsidR="00CF7329" w:rsidRPr="00A80F8F" w:rsidRDefault="00CF7329" w:rsidP="000C2FB1">
            <w:pPr>
              <w:jc w:val="center"/>
              <w:rPr>
                <w:sz w:val="18"/>
                <w:szCs w:val="18"/>
              </w:rPr>
            </w:pPr>
            <w:r>
              <w:rPr>
                <w:sz w:val="18"/>
                <w:szCs w:val="18"/>
              </w:rPr>
              <w:t>444.46</w:t>
            </w:r>
          </w:p>
        </w:tc>
        <w:tc>
          <w:tcPr>
            <w:tcW w:w="1870" w:type="dxa"/>
            <w:vAlign w:val="center"/>
          </w:tcPr>
          <w:p w14:paraId="2EA74D59" w14:textId="77777777" w:rsidR="00CF7329" w:rsidRPr="00A80F8F" w:rsidRDefault="00CF7329" w:rsidP="000C2FB1">
            <w:pPr>
              <w:jc w:val="center"/>
              <w:rPr>
                <w:sz w:val="18"/>
                <w:szCs w:val="18"/>
              </w:rPr>
            </w:pPr>
            <w:r>
              <w:rPr>
                <w:sz w:val="18"/>
                <w:szCs w:val="18"/>
              </w:rPr>
              <w:t>45.12</w:t>
            </w:r>
          </w:p>
        </w:tc>
        <w:tc>
          <w:tcPr>
            <w:tcW w:w="1870" w:type="dxa"/>
            <w:vAlign w:val="center"/>
          </w:tcPr>
          <w:p w14:paraId="634F0DF8" w14:textId="77777777" w:rsidR="00CF7329" w:rsidRPr="00A80F8F" w:rsidRDefault="00CF7329" w:rsidP="000C2FB1">
            <w:pPr>
              <w:jc w:val="center"/>
              <w:rPr>
                <w:sz w:val="18"/>
                <w:szCs w:val="18"/>
              </w:rPr>
            </w:pPr>
            <w:r>
              <w:rPr>
                <w:sz w:val="18"/>
                <w:szCs w:val="18"/>
              </w:rPr>
              <w:t>54.88</w:t>
            </w:r>
          </w:p>
        </w:tc>
      </w:tr>
      <w:tr w:rsidR="00CF7329" w14:paraId="1EBD6EC4" w14:textId="77777777" w:rsidTr="000C2FB1">
        <w:tc>
          <w:tcPr>
            <w:tcW w:w="2785" w:type="dxa"/>
            <w:vAlign w:val="center"/>
          </w:tcPr>
          <w:p w14:paraId="765D361B" w14:textId="77777777" w:rsidR="00CF7329" w:rsidRDefault="00CF7329" w:rsidP="000C2FB1">
            <w:pPr>
              <w:jc w:val="right"/>
              <w:rPr>
                <w:sz w:val="18"/>
              </w:rPr>
            </w:pPr>
            <w:r>
              <w:rPr>
                <w:sz w:val="18"/>
              </w:rPr>
              <w:t>5</w:t>
            </w:r>
            <w:r w:rsidRPr="00C81CA9">
              <w:rPr>
                <w:sz w:val="18"/>
                <w:vertAlign w:val="superscript"/>
              </w:rPr>
              <w:t>th</w:t>
            </w:r>
            <w:r>
              <w:rPr>
                <w:sz w:val="18"/>
              </w:rPr>
              <w:t xml:space="preserve"> Grade Reading</w:t>
            </w:r>
          </w:p>
        </w:tc>
        <w:tc>
          <w:tcPr>
            <w:tcW w:w="955" w:type="dxa"/>
            <w:vAlign w:val="center"/>
          </w:tcPr>
          <w:p w14:paraId="70F1B001" w14:textId="77777777" w:rsidR="00CF7329" w:rsidRPr="00A80F8F" w:rsidRDefault="00CF7329" w:rsidP="000C2FB1">
            <w:pPr>
              <w:jc w:val="center"/>
              <w:rPr>
                <w:sz w:val="18"/>
                <w:szCs w:val="18"/>
              </w:rPr>
            </w:pPr>
            <w:r>
              <w:rPr>
                <w:sz w:val="18"/>
                <w:szCs w:val="18"/>
              </w:rPr>
              <w:t>1,852</w:t>
            </w:r>
          </w:p>
        </w:tc>
        <w:tc>
          <w:tcPr>
            <w:tcW w:w="1870" w:type="dxa"/>
            <w:vAlign w:val="center"/>
          </w:tcPr>
          <w:p w14:paraId="02F9FC7F" w14:textId="77777777" w:rsidR="00CF7329" w:rsidRPr="00A80F8F" w:rsidRDefault="00CF7329" w:rsidP="000C2FB1">
            <w:pPr>
              <w:jc w:val="center"/>
              <w:rPr>
                <w:sz w:val="18"/>
                <w:szCs w:val="18"/>
              </w:rPr>
            </w:pPr>
            <w:r>
              <w:rPr>
                <w:sz w:val="18"/>
                <w:szCs w:val="18"/>
              </w:rPr>
              <w:t>448.88</w:t>
            </w:r>
          </w:p>
        </w:tc>
        <w:tc>
          <w:tcPr>
            <w:tcW w:w="1870" w:type="dxa"/>
            <w:vAlign w:val="center"/>
          </w:tcPr>
          <w:p w14:paraId="4B58376D" w14:textId="77777777" w:rsidR="00CF7329" w:rsidRPr="00A80F8F" w:rsidRDefault="00CF7329" w:rsidP="000C2FB1">
            <w:pPr>
              <w:jc w:val="center"/>
              <w:rPr>
                <w:sz w:val="18"/>
                <w:szCs w:val="18"/>
              </w:rPr>
            </w:pPr>
            <w:r>
              <w:rPr>
                <w:sz w:val="18"/>
                <w:szCs w:val="18"/>
              </w:rPr>
              <w:t>48.33</w:t>
            </w:r>
          </w:p>
        </w:tc>
        <w:tc>
          <w:tcPr>
            <w:tcW w:w="1870" w:type="dxa"/>
            <w:vAlign w:val="center"/>
          </w:tcPr>
          <w:p w14:paraId="12533FA6" w14:textId="77777777" w:rsidR="00CF7329" w:rsidRPr="00A80F8F" w:rsidRDefault="00CF7329" w:rsidP="000C2FB1">
            <w:pPr>
              <w:jc w:val="center"/>
              <w:rPr>
                <w:sz w:val="18"/>
                <w:szCs w:val="18"/>
              </w:rPr>
            </w:pPr>
            <w:r>
              <w:rPr>
                <w:sz w:val="18"/>
                <w:szCs w:val="18"/>
              </w:rPr>
              <w:t>51.67</w:t>
            </w:r>
          </w:p>
        </w:tc>
      </w:tr>
      <w:tr w:rsidR="00CF7329" w14:paraId="4111D140" w14:textId="77777777" w:rsidTr="000C2FB1">
        <w:tc>
          <w:tcPr>
            <w:tcW w:w="2785" w:type="dxa"/>
            <w:vAlign w:val="center"/>
          </w:tcPr>
          <w:p w14:paraId="644F162A" w14:textId="77777777" w:rsidR="00CF7329" w:rsidRPr="00A80F8F" w:rsidRDefault="00CF7329" w:rsidP="000C2FB1">
            <w:pPr>
              <w:jc w:val="right"/>
              <w:rPr>
                <w:sz w:val="18"/>
              </w:rPr>
            </w:pPr>
            <w:r>
              <w:rPr>
                <w:sz w:val="18"/>
              </w:rPr>
              <w:t>3</w:t>
            </w:r>
            <w:r w:rsidRPr="00A80F8F">
              <w:rPr>
                <w:sz w:val="18"/>
                <w:vertAlign w:val="superscript"/>
              </w:rPr>
              <w:t>rd</w:t>
            </w:r>
            <w:r>
              <w:rPr>
                <w:sz w:val="18"/>
              </w:rPr>
              <w:t xml:space="preserve"> Grade Math</w:t>
            </w:r>
          </w:p>
        </w:tc>
        <w:tc>
          <w:tcPr>
            <w:tcW w:w="955" w:type="dxa"/>
            <w:vAlign w:val="center"/>
          </w:tcPr>
          <w:p w14:paraId="4912359B" w14:textId="77777777" w:rsidR="00CF7329" w:rsidRPr="00A80F8F" w:rsidRDefault="00CF7329" w:rsidP="000C2FB1">
            <w:pPr>
              <w:jc w:val="center"/>
              <w:rPr>
                <w:sz w:val="18"/>
                <w:szCs w:val="18"/>
              </w:rPr>
            </w:pPr>
            <w:r>
              <w:rPr>
                <w:sz w:val="18"/>
                <w:szCs w:val="18"/>
              </w:rPr>
              <w:t>1,764</w:t>
            </w:r>
          </w:p>
        </w:tc>
        <w:tc>
          <w:tcPr>
            <w:tcW w:w="1870" w:type="dxa"/>
            <w:vAlign w:val="center"/>
          </w:tcPr>
          <w:p w14:paraId="5A9F47CF" w14:textId="77777777" w:rsidR="00CF7329" w:rsidRPr="00A80F8F" w:rsidRDefault="00CF7329" w:rsidP="000C2FB1">
            <w:pPr>
              <w:jc w:val="center"/>
              <w:rPr>
                <w:sz w:val="18"/>
                <w:szCs w:val="18"/>
              </w:rPr>
            </w:pPr>
            <w:r>
              <w:rPr>
                <w:sz w:val="18"/>
                <w:szCs w:val="18"/>
              </w:rPr>
              <w:t>547.83</w:t>
            </w:r>
          </w:p>
        </w:tc>
        <w:tc>
          <w:tcPr>
            <w:tcW w:w="1870" w:type="dxa"/>
            <w:vAlign w:val="center"/>
          </w:tcPr>
          <w:p w14:paraId="2B92BB80" w14:textId="77777777" w:rsidR="00CF7329" w:rsidRPr="00A80F8F" w:rsidRDefault="00CF7329" w:rsidP="000C2FB1">
            <w:pPr>
              <w:jc w:val="center"/>
              <w:rPr>
                <w:sz w:val="18"/>
                <w:szCs w:val="18"/>
              </w:rPr>
            </w:pPr>
            <w:r>
              <w:rPr>
                <w:sz w:val="18"/>
                <w:szCs w:val="18"/>
              </w:rPr>
              <w:t>38.95</w:t>
            </w:r>
          </w:p>
        </w:tc>
        <w:tc>
          <w:tcPr>
            <w:tcW w:w="1870" w:type="dxa"/>
            <w:vAlign w:val="center"/>
          </w:tcPr>
          <w:p w14:paraId="372FD52C" w14:textId="77777777" w:rsidR="00CF7329" w:rsidRPr="00A80F8F" w:rsidRDefault="00CF7329" w:rsidP="000C2FB1">
            <w:pPr>
              <w:jc w:val="center"/>
              <w:rPr>
                <w:sz w:val="18"/>
                <w:szCs w:val="18"/>
              </w:rPr>
            </w:pPr>
            <w:r>
              <w:rPr>
                <w:sz w:val="18"/>
                <w:szCs w:val="18"/>
              </w:rPr>
              <w:t>61.05</w:t>
            </w:r>
          </w:p>
        </w:tc>
      </w:tr>
      <w:tr w:rsidR="00CF7329" w14:paraId="03109573" w14:textId="77777777" w:rsidTr="000C2FB1">
        <w:tc>
          <w:tcPr>
            <w:tcW w:w="2785" w:type="dxa"/>
            <w:vAlign w:val="center"/>
          </w:tcPr>
          <w:p w14:paraId="63955D0A" w14:textId="77777777" w:rsidR="00CF7329" w:rsidRPr="00A80F8F" w:rsidRDefault="00CF7329" w:rsidP="000C2FB1">
            <w:pPr>
              <w:jc w:val="right"/>
              <w:rPr>
                <w:sz w:val="18"/>
              </w:rPr>
            </w:pPr>
            <w:r>
              <w:rPr>
                <w:sz w:val="18"/>
              </w:rPr>
              <w:t>4</w:t>
            </w:r>
            <w:r w:rsidRPr="00A80F8F">
              <w:rPr>
                <w:sz w:val="18"/>
                <w:vertAlign w:val="superscript"/>
              </w:rPr>
              <w:t>th</w:t>
            </w:r>
            <w:r>
              <w:rPr>
                <w:sz w:val="18"/>
              </w:rPr>
              <w:t xml:space="preserve"> Grade Math</w:t>
            </w:r>
          </w:p>
        </w:tc>
        <w:tc>
          <w:tcPr>
            <w:tcW w:w="955" w:type="dxa"/>
            <w:vAlign w:val="center"/>
          </w:tcPr>
          <w:p w14:paraId="741F2BD6" w14:textId="77777777" w:rsidR="00CF7329" w:rsidRPr="00A80F8F" w:rsidRDefault="00CF7329" w:rsidP="000C2FB1">
            <w:pPr>
              <w:jc w:val="center"/>
              <w:rPr>
                <w:sz w:val="18"/>
                <w:szCs w:val="18"/>
              </w:rPr>
            </w:pPr>
            <w:r>
              <w:rPr>
                <w:sz w:val="18"/>
                <w:szCs w:val="18"/>
              </w:rPr>
              <w:t>1,864</w:t>
            </w:r>
          </w:p>
        </w:tc>
        <w:tc>
          <w:tcPr>
            <w:tcW w:w="1870" w:type="dxa"/>
            <w:vAlign w:val="center"/>
          </w:tcPr>
          <w:p w14:paraId="6AE19D76" w14:textId="77777777" w:rsidR="00CF7329" w:rsidRPr="00A80F8F" w:rsidRDefault="00CF7329" w:rsidP="000C2FB1">
            <w:pPr>
              <w:jc w:val="center"/>
              <w:rPr>
                <w:sz w:val="18"/>
                <w:szCs w:val="18"/>
              </w:rPr>
            </w:pPr>
            <w:r>
              <w:rPr>
                <w:sz w:val="18"/>
                <w:szCs w:val="18"/>
              </w:rPr>
              <w:t>547.74</w:t>
            </w:r>
          </w:p>
        </w:tc>
        <w:tc>
          <w:tcPr>
            <w:tcW w:w="1870" w:type="dxa"/>
            <w:vAlign w:val="center"/>
          </w:tcPr>
          <w:p w14:paraId="6C62A748" w14:textId="77777777" w:rsidR="00CF7329" w:rsidRPr="00A80F8F" w:rsidRDefault="00CF7329" w:rsidP="000C2FB1">
            <w:pPr>
              <w:jc w:val="center"/>
              <w:rPr>
                <w:sz w:val="18"/>
                <w:szCs w:val="18"/>
              </w:rPr>
            </w:pPr>
            <w:r>
              <w:rPr>
                <w:sz w:val="18"/>
                <w:szCs w:val="18"/>
              </w:rPr>
              <w:t>45.82</w:t>
            </w:r>
          </w:p>
        </w:tc>
        <w:tc>
          <w:tcPr>
            <w:tcW w:w="1870" w:type="dxa"/>
            <w:vAlign w:val="center"/>
          </w:tcPr>
          <w:p w14:paraId="1FB87942" w14:textId="77777777" w:rsidR="00CF7329" w:rsidRPr="00A80F8F" w:rsidRDefault="00CF7329" w:rsidP="000C2FB1">
            <w:pPr>
              <w:jc w:val="center"/>
              <w:rPr>
                <w:sz w:val="18"/>
                <w:szCs w:val="18"/>
              </w:rPr>
            </w:pPr>
            <w:r>
              <w:rPr>
                <w:sz w:val="18"/>
                <w:szCs w:val="18"/>
              </w:rPr>
              <w:t>54.18</w:t>
            </w:r>
          </w:p>
        </w:tc>
      </w:tr>
      <w:tr w:rsidR="00CF7329" w14:paraId="7911405B" w14:textId="77777777" w:rsidTr="000C2FB1">
        <w:tc>
          <w:tcPr>
            <w:tcW w:w="2785" w:type="dxa"/>
            <w:vAlign w:val="center"/>
          </w:tcPr>
          <w:p w14:paraId="2E42004B" w14:textId="77777777" w:rsidR="00CF7329" w:rsidRDefault="00CF7329" w:rsidP="000C2FB1">
            <w:pPr>
              <w:jc w:val="right"/>
              <w:rPr>
                <w:sz w:val="18"/>
              </w:rPr>
            </w:pPr>
            <w:r>
              <w:rPr>
                <w:sz w:val="18"/>
              </w:rPr>
              <w:t>5</w:t>
            </w:r>
            <w:r w:rsidRPr="00C81CA9">
              <w:rPr>
                <w:sz w:val="18"/>
                <w:vertAlign w:val="superscript"/>
              </w:rPr>
              <w:t>th</w:t>
            </w:r>
            <w:r>
              <w:rPr>
                <w:sz w:val="18"/>
              </w:rPr>
              <w:t xml:space="preserve"> Grade Math</w:t>
            </w:r>
          </w:p>
        </w:tc>
        <w:tc>
          <w:tcPr>
            <w:tcW w:w="955" w:type="dxa"/>
            <w:vAlign w:val="center"/>
          </w:tcPr>
          <w:p w14:paraId="35121AD6" w14:textId="77777777" w:rsidR="00CF7329" w:rsidRPr="00A80F8F" w:rsidRDefault="00CF7329" w:rsidP="000C2FB1">
            <w:pPr>
              <w:jc w:val="center"/>
              <w:rPr>
                <w:sz w:val="18"/>
                <w:szCs w:val="18"/>
              </w:rPr>
            </w:pPr>
            <w:r>
              <w:rPr>
                <w:sz w:val="18"/>
                <w:szCs w:val="18"/>
              </w:rPr>
              <w:t>1,850</w:t>
            </w:r>
          </w:p>
        </w:tc>
        <w:tc>
          <w:tcPr>
            <w:tcW w:w="1870" w:type="dxa"/>
            <w:vAlign w:val="center"/>
          </w:tcPr>
          <w:p w14:paraId="129C4934" w14:textId="77777777" w:rsidR="00CF7329" w:rsidRPr="00A80F8F" w:rsidRDefault="00CF7329" w:rsidP="000C2FB1">
            <w:pPr>
              <w:jc w:val="center"/>
              <w:rPr>
                <w:sz w:val="18"/>
                <w:szCs w:val="18"/>
              </w:rPr>
            </w:pPr>
            <w:r>
              <w:rPr>
                <w:sz w:val="18"/>
                <w:szCs w:val="18"/>
              </w:rPr>
              <w:t>548.09</w:t>
            </w:r>
          </w:p>
        </w:tc>
        <w:tc>
          <w:tcPr>
            <w:tcW w:w="1870" w:type="dxa"/>
            <w:vAlign w:val="center"/>
          </w:tcPr>
          <w:p w14:paraId="10B111FB" w14:textId="77777777" w:rsidR="00CF7329" w:rsidRPr="00A80F8F" w:rsidRDefault="00CF7329" w:rsidP="000C2FB1">
            <w:pPr>
              <w:jc w:val="center"/>
              <w:rPr>
                <w:sz w:val="18"/>
                <w:szCs w:val="18"/>
              </w:rPr>
            </w:pPr>
            <w:r>
              <w:rPr>
                <w:sz w:val="18"/>
                <w:szCs w:val="18"/>
              </w:rPr>
              <w:t>38.92</w:t>
            </w:r>
          </w:p>
        </w:tc>
        <w:tc>
          <w:tcPr>
            <w:tcW w:w="1870" w:type="dxa"/>
            <w:vAlign w:val="center"/>
          </w:tcPr>
          <w:p w14:paraId="740B8599" w14:textId="77777777" w:rsidR="00CF7329" w:rsidRPr="00A80F8F" w:rsidRDefault="00CF7329" w:rsidP="000C2FB1">
            <w:pPr>
              <w:jc w:val="center"/>
              <w:rPr>
                <w:sz w:val="18"/>
                <w:szCs w:val="18"/>
              </w:rPr>
            </w:pPr>
            <w:r>
              <w:rPr>
                <w:sz w:val="18"/>
                <w:szCs w:val="18"/>
              </w:rPr>
              <w:t>61.08</w:t>
            </w:r>
          </w:p>
        </w:tc>
      </w:tr>
      <w:tr w:rsidR="00CF7329" w14:paraId="47D3E86B" w14:textId="77777777" w:rsidTr="000C2FB1">
        <w:tc>
          <w:tcPr>
            <w:tcW w:w="2785" w:type="dxa"/>
            <w:vAlign w:val="center"/>
          </w:tcPr>
          <w:p w14:paraId="25DED3FA" w14:textId="77777777" w:rsidR="00CF7329" w:rsidRDefault="00CF7329" w:rsidP="000C2FB1">
            <w:pPr>
              <w:jc w:val="right"/>
              <w:rPr>
                <w:sz w:val="18"/>
              </w:rPr>
            </w:pPr>
            <w:r>
              <w:rPr>
                <w:sz w:val="18"/>
              </w:rPr>
              <w:t>5</w:t>
            </w:r>
            <w:r w:rsidRPr="00C81CA9">
              <w:rPr>
                <w:sz w:val="18"/>
                <w:vertAlign w:val="superscript"/>
              </w:rPr>
              <w:t>th</w:t>
            </w:r>
            <w:r>
              <w:rPr>
                <w:sz w:val="18"/>
              </w:rPr>
              <w:t xml:space="preserve"> Grade Science</w:t>
            </w:r>
          </w:p>
        </w:tc>
        <w:tc>
          <w:tcPr>
            <w:tcW w:w="955" w:type="dxa"/>
            <w:vAlign w:val="center"/>
          </w:tcPr>
          <w:p w14:paraId="7076ED77" w14:textId="77777777" w:rsidR="00CF7329" w:rsidRPr="00A80F8F" w:rsidRDefault="00CF7329" w:rsidP="000C2FB1">
            <w:pPr>
              <w:jc w:val="center"/>
              <w:rPr>
                <w:sz w:val="18"/>
                <w:szCs w:val="18"/>
              </w:rPr>
            </w:pPr>
            <w:r>
              <w:rPr>
                <w:sz w:val="18"/>
                <w:szCs w:val="18"/>
              </w:rPr>
              <w:t>1,851</w:t>
            </w:r>
          </w:p>
        </w:tc>
        <w:tc>
          <w:tcPr>
            <w:tcW w:w="1870" w:type="dxa"/>
            <w:vAlign w:val="center"/>
          </w:tcPr>
          <w:p w14:paraId="1D80F1A8" w14:textId="77777777" w:rsidR="00CF7329" w:rsidRPr="00A80F8F" w:rsidRDefault="00CF7329" w:rsidP="000C2FB1">
            <w:pPr>
              <w:jc w:val="center"/>
              <w:rPr>
                <w:sz w:val="18"/>
                <w:szCs w:val="18"/>
              </w:rPr>
            </w:pPr>
            <w:r>
              <w:rPr>
                <w:sz w:val="18"/>
                <w:szCs w:val="18"/>
              </w:rPr>
              <w:t>253.81</w:t>
            </w:r>
          </w:p>
        </w:tc>
        <w:tc>
          <w:tcPr>
            <w:tcW w:w="1870" w:type="dxa"/>
            <w:vAlign w:val="center"/>
          </w:tcPr>
          <w:p w14:paraId="76C38495" w14:textId="77777777" w:rsidR="00CF7329" w:rsidRPr="00A80F8F" w:rsidRDefault="00CF7329" w:rsidP="000C2FB1">
            <w:pPr>
              <w:jc w:val="center"/>
              <w:rPr>
                <w:sz w:val="18"/>
                <w:szCs w:val="18"/>
              </w:rPr>
            </w:pPr>
            <w:r>
              <w:rPr>
                <w:sz w:val="18"/>
                <w:szCs w:val="18"/>
              </w:rPr>
              <w:t>26.53</w:t>
            </w:r>
          </w:p>
        </w:tc>
        <w:tc>
          <w:tcPr>
            <w:tcW w:w="1870" w:type="dxa"/>
            <w:vAlign w:val="center"/>
          </w:tcPr>
          <w:p w14:paraId="45C23E11" w14:textId="77777777" w:rsidR="00CF7329" w:rsidRPr="00A80F8F" w:rsidRDefault="00CF7329" w:rsidP="000C2FB1">
            <w:pPr>
              <w:jc w:val="center"/>
              <w:rPr>
                <w:sz w:val="18"/>
                <w:szCs w:val="18"/>
              </w:rPr>
            </w:pPr>
            <w:r>
              <w:rPr>
                <w:sz w:val="18"/>
                <w:szCs w:val="18"/>
              </w:rPr>
              <w:t>73.47</w:t>
            </w:r>
          </w:p>
        </w:tc>
      </w:tr>
      <w:tr w:rsidR="00CF7329" w14:paraId="2E3FF544" w14:textId="77777777" w:rsidTr="000C2FB1">
        <w:tc>
          <w:tcPr>
            <w:tcW w:w="9350" w:type="dxa"/>
            <w:gridSpan w:val="5"/>
            <w:vAlign w:val="center"/>
          </w:tcPr>
          <w:p w14:paraId="27882D56" w14:textId="77777777" w:rsidR="00CF7329" w:rsidRPr="00A80F8F" w:rsidRDefault="00CF7329" w:rsidP="000C2FB1">
            <w:pPr>
              <w:jc w:val="center"/>
              <w:rPr>
                <w:i/>
                <w:sz w:val="18"/>
                <w:szCs w:val="18"/>
              </w:rPr>
            </w:pPr>
            <w:r>
              <w:rPr>
                <w:i/>
                <w:sz w:val="18"/>
                <w:szCs w:val="18"/>
              </w:rPr>
              <w:t xml:space="preserve">South Greenville Elementary School </w:t>
            </w:r>
          </w:p>
        </w:tc>
      </w:tr>
      <w:tr w:rsidR="00CF7329" w14:paraId="616E7CA4" w14:textId="77777777" w:rsidTr="000C2FB1">
        <w:tc>
          <w:tcPr>
            <w:tcW w:w="2785" w:type="dxa"/>
            <w:vAlign w:val="center"/>
          </w:tcPr>
          <w:p w14:paraId="66B0EDF2" w14:textId="77777777" w:rsidR="00CF7329" w:rsidRPr="00A80F8F" w:rsidRDefault="00CF7329" w:rsidP="000C2FB1">
            <w:pPr>
              <w:jc w:val="right"/>
              <w:rPr>
                <w:sz w:val="18"/>
              </w:rPr>
            </w:pPr>
            <w:r>
              <w:rPr>
                <w:sz w:val="18"/>
              </w:rPr>
              <w:t xml:space="preserve"> 3</w:t>
            </w:r>
            <w:r w:rsidRPr="00A80F8F">
              <w:rPr>
                <w:sz w:val="18"/>
                <w:vertAlign w:val="superscript"/>
              </w:rPr>
              <w:t>rd</w:t>
            </w:r>
            <w:r>
              <w:rPr>
                <w:sz w:val="18"/>
              </w:rPr>
              <w:t xml:space="preserve"> Grade Reading</w:t>
            </w:r>
          </w:p>
        </w:tc>
        <w:tc>
          <w:tcPr>
            <w:tcW w:w="955" w:type="dxa"/>
            <w:vAlign w:val="center"/>
          </w:tcPr>
          <w:p w14:paraId="2CA53841" w14:textId="77777777" w:rsidR="00CF7329" w:rsidRPr="00A80F8F" w:rsidRDefault="00CF7329" w:rsidP="000C2FB1">
            <w:pPr>
              <w:jc w:val="center"/>
              <w:rPr>
                <w:sz w:val="18"/>
                <w:szCs w:val="18"/>
              </w:rPr>
            </w:pPr>
            <w:r>
              <w:rPr>
                <w:sz w:val="18"/>
                <w:szCs w:val="18"/>
              </w:rPr>
              <w:t>61</w:t>
            </w:r>
          </w:p>
        </w:tc>
        <w:tc>
          <w:tcPr>
            <w:tcW w:w="1870" w:type="dxa"/>
            <w:vAlign w:val="center"/>
          </w:tcPr>
          <w:p w14:paraId="596BD933" w14:textId="77777777" w:rsidR="00CF7329" w:rsidRPr="00A80F8F" w:rsidRDefault="00CF7329" w:rsidP="000C2FB1">
            <w:pPr>
              <w:jc w:val="center"/>
              <w:rPr>
                <w:sz w:val="18"/>
                <w:szCs w:val="18"/>
              </w:rPr>
            </w:pPr>
            <w:r>
              <w:rPr>
                <w:sz w:val="18"/>
                <w:szCs w:val="18"/>
              </w:rPr>
              <w:t>427.89</w:t>
            </w:r>
          </w:p>
        </w:tc>
        <w:tc>
          <w:tcPr>
            <w:tcW w:w="1870" w:type="dxa"/>
            <w:vAlign w:val="center"/>
          </w:tcPr>
          <w:p w14:paraId="19784D3A" w14:textId="77777777" w:rsidR="00CF7329" w:rsidRPr="00A80F8F" w:rsidRDefault="00CF7329" w:rsidP="000C2FB1">
            <w:pPr>
              <w:jc w:val="center"/>
              <w:rPr>
                <w:sz w:val="18"/>
                <w:szCs w:val="18"/>
              </w:rPr>
            </w:pPr>
            <w:r>
              <w:rPr>
                <w:sz w:val="18"/>
                <w:szCs w:val="18"/>
              </w:rPr>
              <w:t>86.89</w:t>
            </w:r>
          </w:p>
        </w:tc>
        <w:tc>
          <w:tcPr>
            <w:tcW w:w="1870" w:type="dxa"/>
            <w:vAlign w:val="center"/>
          </w:tcPr>
          <w:p w14:paraId="3737596D" w14:textId="77777777" w:rsidR="00CF7329" w:rsidRPr="00A80F8F" w:rsidRDefault="00CF7329" w:rsidP="000C2FB1">
            <w:pPr>
              <w:jc w:val="center"/>
              <w:rPr>
                <w:sz w:val="18"/>
                <w:szCs w:val="18"/>
              </w:rPr>
            </w:pPr>
            <w:r>
              <w:rPr>
                <w:sz w:val="18"/>
                <w:szCs w:val="18"/>
              </w:rPr>
              <w:t>13.11</w:t>
            </w:r>
          </w:p>
        </w:tc>
      </w:tr>
      <w:tr w:rsidR="00CF7329" w14:paraId="08FAE720" w14:textId="77777777" w:rsidTr="000C2FB1">
        <w:tc>
          <w:tcPr>
            <w:tcW w:w="2785" w:type="dxa"/>
            <w:vAlign w:val="center"/>
          </w:tcPr>
          <w:p w14:paraId="66B09BCF" w14:textId="77777777" w:rsidR="00CF7329" w:rsidRPr="00A80F8F" w:rsidRDefault="00CF7329" w:rsidP="000C2FB1">
            <w:pPr>
              <w:jc w:val="right"/>
              <w:rPr>
                <w:sz w:val="18"/>
              </w:rPr>
            </w:pPr>
            <w:r>
              <w:rPr>
                <w:sz w:val="18"/>
              </w:rPr>
              <w:t>4</w:t>
            </w:r>
            <w:r w:rsidRPr="00A80F8F">
              <w:rPr>
                <w:sz w:val="18"/>
                <w:vertAlign w:val="superscript"/>
              </w:rPr>
              <w:t>th</w:t>
            </w:r>
            <w:r>
              <w:rPr>
                <w:sz w:val="18"/>
              </w:rPr>
              <w:t xml:space="preserve"> Grade Reading</w:t>
            </w:r>
          </w:p>
        </w:tc>
        <w:tc>
          <w:tcPr>
            <w:tcW w:w="955" w:type="dxa"/>
            <w:vAlign w:val="center"/>
          </w:tcPr>
          <w:p w14:paraId="2056342F" w14:textId="77777777" w:rsidR="00CF7329" w:rsidRPr="00A80F8F" w:rsidRDefault="00CF7329" w:rsidP="000C2FB1">
            <w:pPr>
              <w:jc w:val="center"/>
              <w:rPr>
                <w:sz w:val="18"/>
                <w:szCs w:val="18"/>
              </w:rPr>
            </w:pPr>
            <w:r>
              <w:rPr>
                <w:sz w:val="18"/>
                <w:szCs w:val="18"/>
              </w:rPr>
              <w:t>52</w:t>
            </w:r>
          </w:p>
        </w:tc>
        <w:tc>
          <w:tcPr>
            <w:tcW w:w="1870" w:type="dxa"/>
            <w:vAlign w:val="center"/>
          </w:tcPr>
          <w:p w14:paraId="261CBCB4" w14:textId="77777777" w:rsidR="00CF7329" w:rsidRPr="00A80F8F" w:rsidRDefault="00CF7329" w:rsidP="000C2FB1">
            <w:pPr>
              <w:jc w:val="center"/>
              <w:rPr>
                <w:sz w:val="18"/>
                <w:szCs w:val="18"/>
              </w:rPr>
            </w:pPr>
            <w:r>
              <w:rPr>
                <w:sz w:val="18"/>
                <w:szCs w:val="18"/>
              </w:rPr>
              <w:t>438.23</w:t>
            </w:r>
          </w:p>
        </w:tc>
        <w:tc>
          <w:tcPr>
            <w:tcW w:w="1870" w:type="dxa"/>
            <w:vAlign w:val="center"/>
          </w:tcPr>
          <w:p w14:paraId="377FFFC3" w14:textId="77777777" w:rsidR="00CF7329" w:rsidRPr="00A80F8F" w:rsidRDefault="00CF7329" w:rsidP="000C2FB1">
            <w:pPr>
              <w:jc w:val="center"/>
              <w:rPr>
                <w:sz w:val="18"/>
                <w:szCs w:val="18"/>
              </w:rPr>
            </w:pPr>
            <w:r>
              <w:rPr>
                <w:sz w:val="18"/>
                <w:szCs w:val="18"/>
              </w:rPr>
              <w:t>76.92</w:t>
            </w:r>
          </w:p>
        </w:tc>
        <w:tc>
          <w:tcPr>
            <w:tcW w:w="1870" w:type="dxa"/>
            <w:vAlign w:val="center"/>
          </w:tcPr>
          <w:p w14:paraId="4483A26C" w14:textId="77777777" w:rsidR="00CF7329" w:rsidRPr="00A80F8F" w:rsidRDefault="00CF7329" w:rsidP="000C2FB1">
            <w:pPr>
              <w:jc w:val="center"/>
              <w:rPr>
                <w:sz w:val="18"/>
                <w:szCs w:val="18"/>
              </w:rPr>
            </w:pPr>
            <w:r>
              <w:rPr>
                <w:sz w:val="18"/>
                <w:szCs w:val="18"/>
              </w:rPr>
              <w:t>23.08</w:t>
            </w:r>
          </w:p>
        </w:tc>
      </w:tr>
      <w:tr w:rsidR="00CF7329" w14:paraId="78122D71" w14:textId="77777777" w:rsidTr="000C2FB1">
        <w:tc>
          <w:tcPr>
            <w:tcW w:w="2785" w:type="dxa"/>
            <w:vAlign w:val="center"/>
          </w:tcPr>
          <w:p w14:paraId="1C815A98" w14:textId="77777777" w:rsidR="00CF7329" w:rsidRDefault="00CF7329" w:rsidP="000C2FB1">
            <w:pPr>
              <w:jc w:val="right"/>
              <w:rPr>
                <w:sz w:val="18"/>
              </w:rPr>
            </w:pPr>
            <w:r>
              <w:rPr>
                <w:sz w:val="18"/>
              </w:rPr>
              <w:t>5</w:t>
            </w:r>
            <w:r w:rsidRPr="00C81CA9">
              <w:rPr>
                <w:sz w:val="18"/>
                <w:vertAlign w:val="superscript"/>
              </w:rPr>
              <w:t>th</w:t>
            </w:r>
            <w:r>
              <w:rPr>
                <w:sz w:val="18"/>
              </w:rPr>
              <w:t xml:space="preserve"> Grade Reading</w:t>
            </w:r>
          </w:p>
        </w:tc>
        <w:tc>
          <w:tcPr>
            <w:tcW w:w="955" w:type="dxa"/>
            <w:vAlign w:val="center"/>
          </w:tcPr>
          <w:p w14:paraId="297D33E4" w14:textId="77777777" w:rsidR="00CF7329" w:rsidRPr="00A80F8F" w:rsidRDefault="00CF7329" w:rsidP="000C2FB1">
            <w:pPr>
              <w:jc w:val="center"/>
              <w:rPr>
                <w:sz w:val="18"/>
                <w:szCs w:val="18"/>
              </w:rPr>
            </w:pPr>
            <w:r>
              <w:rPr>
                <w:sz w:val="18"/>
                <w:szCs w:val="18"/>
              </w:rPr>
              <w:t>49</w:t>
            </w:r>
          </w:p>
        </w:tc>
        <w:tc>
          <w:tcPr>
            <w:tcW w:w="1870" w:type="dxa"/>
            <w:vAlign w:val="center"/>
          </w:tcPr>
          <w:p w14:paraId="433C6DEC" w14:textId="77777777" w:rsidR="00CF7329" w:rsidRPr="00A80F8F" w:rsidRDefault="00CF7329" w:rsidP="000C2FB1">
            <w:pPr>
              <w:jc w:val="center"/>
              <w:rPr>
                <w:sz w:val="18"/>
                <w:szCs w:val="18"/>
              </w:rPr>
            </w:pPr>
            <w:r>
              <w:rPr>
                <w:sz w:val="18"/>
                <w:szCs w:val="18"/>
              </w:rPr>
              <w:t>442.18</w:t>
            </w:r>
          </w:p>
        </w:tc>
        <w:tc>
          <w:tcPr>
            <w:tcW w:w="1870" w:type="dxa"/>
            <w:vAlign w:val="center"/>
          </w:tcPr>
          <w:p w14:paraId="0051C424" w14:textId="77777777" w:rsidR="00CF7329" w:rsidRPr="00A80F8F" w:rsidRDefault="00CF7329" w:rsidP="000C2FB1">
            <w:pPr>
              <w:jc w:val="center"/>
              <w:rPr>
                <w:sz w:val="18"/>
                <w:szCs w:val="18"/>
              </w:rPr>
            </w:pPr>
            <w:r>
              <w:rPr>
                <w:sz w:val="18"/>
                <w:szCs w:val="18"/>
              </w:rPr>
              <w:t>79.59</w:t>
            </w:r>
          </w:p>
        </w:tc>
        <w:tc>
          <w:tcPr>
            <w:tcW w:w="1870" w:type="dxa"/>
            <w:vAlign w:val="center"/>
          </w:tcPr>
          <w:p w14:paraId="5BDE3E8A" w14:textId="77777777" w:rsidR="00CF7329" w:rsidRPr="00A80F8F" w:rsidRDefault="00CF7329" w:rsidP="000C2FB1">
            <w:pPr>
              <w:jc w:val="center"/>
              <w:rPr>
                <w:sz w:val="18"/>
                <w:szCs w:val="18"/>
              </w:rPr>
            </w:pPr>
            <w:r>
              <w:rPr>
                <w:sz w:val="18"/>
                <w:szCs w:val="18"/>
              </w:rPr>
              <w:t>20.41</w:t>
            </w:r>
          </w:p>
        </w:tc>
      </w:tr>
      <w:tr w:rsidR="00CF7329" w14:paraId="0A99236A" w14:textId="77777777" w:rsidTr="000C2FB1">
        <w:tc>
          <w:tcPr>
            <w:tcW w:w="2785" w:type="dxa"/>
            <w:vAlign w:val="center"/>
          </w:tcPr>
          <w:p w14:paraId="6C663332" w14:textId="77777777" w:rsidR="00CF7329" w:rsidRPr="00A80F8F" w:rsidRDefault="00CF7329" w:rsidP="000C2FB1">
            <w:pPr>
              <w:jc w:val="right"/>
              <w:rPr>
                <w:sz w:val="18"/>
              </w:rPr>
            </w:pPr>
            <w:r>
              <w:rPr>
                <w:sz w:val="18"/>
              </w:rPr>
              <w:t>3</w:t>
            </w:r>
            <w:r w:rsidRPr="00A80F8F">
              <w:rPr>
                <w:sz w:val="18"/>
                <w:vertAlign w:val="superscript"/>
              </w:rPr>
              <w:t>rd</w:t>
            </w:r>
            <w:r>
              <w:rPr>
                <w:sz w:val="18"/>
              </w:rPr>
              <w:t xml:space="preserve"> Grade Math</w:t>
            </w:r>
          </w:p>
        </w:tc>
        <w:tc>
          <w:tcPr>
            <w:tcW w:w="955" w:type="dxa"/>
            <w:vAlign w:val="center"/>
          </w:tcPr>
          <w:p w14:paraId="27C6FBC7" w14:textId="77777777" w:rsidR="00CF7329" w:rsidRPr="00A80F8F" w:rsidRDefault="00CF7329" w:rsidP="000C2FB1">
            <w:pPr>
              <w:jc w:val="center"/>
              <w:rPr>
                <w:sz w:val="18"/>
                <w:szCs w:val="18"/>
              </w:rPr>
            </w:pPr>
            <w:r>
              <w:rPr>
                <w:sz w:val="18"/>
                <w:szCs w:val="18"/>
              </w:rPr>
              <w:t>61</w:t>
            </w:r>
          </w:p>
        </w:tc>
        <w:tc>
          <w:tcPr>
            <w:tcW w:w="1870" w:type="dxa"/>
            <w:vAlign w:val="center"/>
          </w:tcPr>
          <w:p w14:paraId="17B5C974" w14:textId="77777777" w:rsidR="00CF7329" w:rsidRPr="00A80F8F" w:rsidRDefault="00CF7329" w:rsidP="000C2FB1">
            <w:pPr>
              <w:jc w:val="center"/>
              <w:rPr>
                <w:sz w:val="18"/>
                <w:szCs w:val="18"/>
              </w:rPr>
            </w:pPr>
            <w:r>
              <w:rPr>
                <w:sz w:val="18"/>
                <w:szCs w:val="18"/>
              </w:rPr>
              <w:t>539.77</w:t>
            </w:r>
          </w:p>
        </w:tc>
        <w:tc>
          <w:tcPr>
            <w:tcW w:w="1870" w:type="dxa"/>
            <w:vAlign w:val="center"/>
          </w:tcPr>
          <w:p w14:paraId="33FE178C" w14:textId="77777777" w:rsidR="00CF7329" w:rsidRPr="00A80F8F" w:rsidRDefault="00CF7329" w:rsidP="000C2FB1">
            <w:pPr>
              <w:jc w:val="center"/>
              <w:rPr>
                <w:sz w:val="18"/>
                <w:szCs w:val="18"/>
              </w:rPr>
            </w:pPr>
            <w:r>
              <w:rPr>
                <w:sz w:val="18"/>
                <w:szCs w:val="18"/>
              </w:rPr>
              <w:t>77.05</w:t>
            </w:r>
          </w:p>
        </w:tc>
        <w:tc>
          <w:tcPr>
            <w:tcW w:w="1870" w:type="dxa"/>
            <w:vAlign w:val="center"/>
          </w:tcPr>
          <w:p w14:paraId="35DA1660" w14:textId="77777777" w:rsidR="00CF7329" w:rsidRPr="00A80F8F" w:rsidRDefault="00CF7329" w:rsidP="000C2FB1">
            <w:pPr>
              <w:jc w:val="center"/>
              <w:rPr>
                <w:sz w:val="18"/>
                <w:szCs w:val="18"/>
              </w:rPr>
            </w:pPr>
            <w:r>
              <w:rPr>
                <w:sz w:val="18"/>
                <w:szCs w:val="18"/>
              </w:rPr>
              <w:t>22.95</w:t>
            </w:r>
          </w:p>
        </w:tc>
      </w:tr>
      <w:tr w:rsidR="00CF7329" w14:paraId="035C0416" w14:textId="77777777" w:rsidTr="000C2FB1">
        <w:tc>
          <w:tcPr>
            <w:tcW w:w="2785" w:type="dxa"/>
            <w:vAlign w:val="center"/>
          </w:tcPr>
          <w:p w14:paraId="2FF05860" w14:textId="77777777" w:rsidR="00CF7329" w:rsidRPr="00A80F8F" w:rsidRDefault="00CF7329" w:rsidP="000C2FB1">
            <w:pPr>
              <w:jc w:val="right"/>
              <w:rPr>
                <w:sz w:val="18"/>
              </w:rPr>
            </w:pPr>
            <w:r>
              <w:rPr>
                <w:sz w:val="18"/>
              </w:rPr>
              <w:t>4</w:t>
            </w:r>
            <w:r w:rsidRPr="00A80F8F">
              <w:rPr>
                <w:sz w:val="18"/>
                <w:vertAlign w:val="superscript"/>
              </w:rPr>
              <w:t>th</w:t>
            </w:r>
            <w:r>
              <w:rPr>
                <w:sz w:val="18"/>
              </w:rPr>
              <w:t xml:space="preserve"> Grade Math</w:t>
            </w:r>
          </w:p>
        </w:tc>
        <w:tc>
          <w:tcPr>
            <w:tcW w:w="955" w:type="dxa"/>
            <w:vAlign w:val="center"/>
          </w:tcPr>
          <w:p w14:paraId="327B1D90" w14:textId="77777777" w:rsidR="00CF7329" w:rsidRPr="00A80F8F" w:rsidRDefault="00CF7329" w:rsidP="000C2FB1">
            <w:pPr>
              <w:jc w:val="center"/>
              <w:rPr>
                <w:sz w:val="18"/>
                <w:szCs w:val="18"/>
              </w:rPr>
            </w:pPr>
            <w:r>
              <w:rPr>
                <w:sz w:val="18"/>
                <w:szCs w:val="18"/>
              </w:rPr>
              <w:t>52</w:t>
            </w:r>
          </w:p>
        </w:tc>
        <w:tc>
          <w:tcPr>
            <w:tcW w:w="1870" w:type="dxa"/>
            <w:vAlign w:val="center"/>
          </w:tcPr>
          <w:p w14:paraId="3829EA1D" w14:textId="77777777" w:rsidR="00CF7329" w:rsidRPr="00A80F8F" w:rsidRDefault="00CF7329" w:rsidP="000C2FB1">
            <w:pPr>
              <w:jc w:val="center"/>
              <w:rPr>
                <w:sz w:val="18"/>
                <w:szCs w:val="18"/>
              </w:rPr>
            </w:pPr>
            <w:r>
              <w:rPr>
                <w:sz w:val="18"/>
                <w:szCs w:val="18"/>
              </w:rPr>
              <w:t>539.17</w:t>
            </w:r>
          </w:p>
        </w:tc>
        <w:tc>
          <w:tcPr>
            <w:tcW w:w="1870" w:type="dxa"/>
            <w:vAlign w:val="center"/>
          </w:tcPr>
          <w:p w14:paraId="3B073B58" w14:textId="77777777" w:rsidR="00CF7329" w:rsidRPr="00A80F8F" w:rsidRDefault="00CF7329" w:rsidP="000C2FB1">
            <w:pPr>
              <w:jc w:val="center"/>
              <w:rPr>
                <w:sz w:val="18"/>
                <w:szCs w:val="18"/>
              </w:rPr>
            </w:pPr>
            <w:r>
              <w:rPr>
                <w:sz w:val="18"/>
                <w:szCs w:val="18"/>
              </w:rPr>
              <w:t>84.62</w:t>
            </w:r>
          </w:p>
        </w:tc>
        <w:tc>
          <w:tcPr>
            <w:tcW w:w="1870" w:type="dxa"/>
            <w:vAlign w:val="center"/>
          </w:tcPr>
          <w:p w14:paraId="1F7C6C86" w14:textId="77777777" w:rsidR="00CF7329" w:rsidRPr="00A80F8F" w:rsidRDefault="00CF7329" w:rsidP="000C2FB1">
            <w:pPr>
              <w:jc w:val="center"/>
              <w:rPr>
                <w:sz w:val="18"/>
                <w:szCs w:val="18"/>
              </w:rPr>
            </w:pPr>
            <w:r>
              <w:rPr>
                <w:sz w:val="18"/>
                <w:szCs w:val="18"/>
              </w:rPr>
              <w:t>15.38</w:t>
            </w:r>
          </w:p>
        </w:tc>
      </w:tr>
      <w:tr w:rsidR="00CF7329" w14:paraId="50E32FFF" w14:textId="77777777" w:rsidTr="000C2FB1">
        <w:tc>
          <w:tcPr>
            <w:tcW w:w="2785" w:type="dxa"/>
            <w:vAlign w:val="center"/>
          </w:tcPr>
          <w:p w14:paraId="7C156454" w14:textId="77777777" w:rsidR="00CF7329" w:rsidRDefault="00CF7329" w:rsidP="000C2FB1">
            <w:pPr>
              <w:jc w:val="right"/>
              <w:rPr>
                <w:sz w:val="18"/>
              </w:rPr>
            </w:pPr>
            <w:r>
              <w:rPr>
                <w:sz w:val="18"/>
              </w:rPr>
              <w:t>5</w:t>
            </w:r>
            <w:r w:rsidRPr="00C81CA9">
              <w:rPr>
                <w:sz w:val="18"/>
                <w:vertAlign w:val="superscript"/>
              </w:rPr>
              <w:t>th</w:t>
            </w:r>
            <w:r>
              <w:rPr>
                <w:sz w:val="18"/>
              </w:rPr>
              <w:t xml:space="preserve"> Grade Math</w:t>
            </w:r>
          </w:p>
        </w:tc>
        <w:tc>
          <w:tcPr>
            <w:tcW w:w="955" w:type="dxa"/>
            <w:vAlign w:val="center"/>
          </w:tcPr>
          <w:p w14:paraId="5BB6EE63" w14:textId="77777777" w:rsidR="00CF7329" w:rsidRPr="00A80F8F" w:rsidRDefault="00CF7329" w:rsidP="000C2FB1">
            <w:pPr>
              <w:jc w:val="center"/>
              <w:rPr>
                <w:sz w:val="18"/>
                <w:szCs w:val="18"/>
              </w:rPr>
            </w:pPr>
            <w:r>
              <w:rPr>
                <w:sz w:val="18"/>
                <w:szCs w:val="18"/>
              </w:rPr>
              <w:t>49</w:t>
            </w:r>
          </w:p>
        </w:tc>
        <w:tc>
          <w:tcPr>
            <w:tcW w:w="1870" w:type="dxa"/>
            <w:vAlign w:val="center"/>
          </w:tcPr>
          <w:p w14:paraId="13E4402E" w14:textId="77777777" w:rsidR="00CF7329" w:rsidRPr="00A80F8F" w:rsidRDefault="00CF7329" w:rsidP="000C2FB1">
            <w:pPr>
              <w:jc w:val="center"/>
              <w:rPr>
                <w:sz w:val="18"/>
                <w:szCs w:val="18"/>
              </w:rPr>
            </w:pPr>
            <w:r>
              <w:rPr>
                <w:sz w:val="18"/>
                <w:szCs w:val="18"/>
              </w:rPr>
              <w:t>539.27</w:t>
            </w:r>
          </w:p>
        </w:tc>
        <w:tc>
          <w:tcPr>
            <w:tcW w:w="1870" w:type="dxa"/>
            <w:vAlign w:val="center"/>
          </w:tcPr>
          <w:p w14:paraId="367EF3FC" w14:textId="77777777" w:rsidR="00CF7329" w:rsidRPr="00A80F8F" w:rsidRDefault="00CF7329" w:rsidP="000C2FB1">
            <w:pPr>
              <w:jc w:val="center"/>
              <w:rPr>
                <w:sz w:val="18"/>
                <w:szCs w:val="18"/>
              </w:rPr>
            </w:pPr>
            <w:r>
              <w:rPr>
                <w:sz w:val="18"/>
                <w:szCs w:val="18"/>
              </w:rPr>
              <w:t>81.63</w:t>
            </w:r>
          </w:p>
        </w:tc>
        <w:tc>
          <w:tcPr>
            <w:tcW w:w="1870" w:type="dxa"/>
            <w:vAlign w:val="center"/>
          </w:tcPr>
          <w:p w14:paraId="3F62EB21" w14:textId="77777777" w:rsidR="00CF7329" w:rsidRPr="00A80F8F" w:rsidRDefault="00CF7329" w:rsidP="000C2FB1">
            <w:pPr>
              <w:jc w:val="center"/>
              <w:rPr>
                <w:sz w:val="18"/>
                <w:szCs w:val="18"/>
              </w:rPr>
            </w:pPr>
            <w:r>
              <w:rPr>
                <w:sz w:val="18"/>
                <w:szCs w:val="18"/>
              </w:rPr>
              <w:t>18.37</w:t>
            </w:r>
          </w:p>
        </w:tc>
      </w:tr>
      <w:tr w:rsidR="00CF7329" w14:paraId="018A41AF" w14:textId="77777777" w:rsidTr="000C2FB1">
        <w:tc>
          <w:tcPr>
            <w:tcW w:w="2785" w:type="dxa"/>
            <w:vAlign w:val="center"/>
          </w:tcPr>
          <w:p w14:paraId="36B52FC4" w14:textId="77777777" w:rsidR="00CF7329" w:rsidRDefault="00CF7329" w:rsidP="000C2FB1">
            <w:pPr>
              <w:jc w:val="right"/>
              <w:rPr>
                <w:sz w:val="18"/>
              </w:rPr>
            </w:pPr>
            <w:r>
              <w:rPr>
                <w:sz w:val="18"/>
              </w:rPr>
              <w:t>5</w:t>
            </w:r>
            <w:r w:rsidRPr="00C81CA9">
              <w:rPr>
                <w:sz w:val="18"/>
                <w:vertAlign w:val="superscript"/>
              </w:rPr>
              <w:t>th</w:t>
            </w:r>
            <w:r>
              <w:rPr>
                <w:sz w:val="18"/>
              </w:rPr>
              <w:t xml:space="preserve"> Grade Science</w:t>
            </w:r>
          </w:p>
        </w:tc>
        <w:tc>
          <w:tcPr>
            <w:tcW w:w="955" w:type="dxa"/>
            <w:vAlign w:val="center"/>
          </w:tcPr>
          <w:p w14:paraId="5FF63BC8" w14:textId="77777777" w:rsidR="00CF7329" w:rsidRPr="00A80F8F" w:rsidRDefault="00CF7329" w:rsidP="000C2FB1">
            <w:pPr>
              <w:jc w:val="center"/>
              <w:rPr>
                <w:sz w:val="18"/>
                <w:szCs w:val="18"/>
              </w:rPr>
            </w:pPr>
            <w:r>
              <w:rPr>
                <w:sz w:val="18"/>
                <w:szCs w:val="18"/>
              </w:rPr>
              <w:t>49</w:t>
            </w:r>
          </w:p>
        </w:tc>
        <w:tc>
          <w:tcPr>
            <w:tcW w:w="1870" w:type="dxa"/>
            <w:vAlign w:val="center"/>
          </w:tcPr>
          <w:p w14:paraId="04604FBC" w14:textId="77777777" w:rsidR="00CF7329" w:rsidRPr="00A80F8F" w:rsidRDefault="00CF7329" w:rsidP="000C2FB1">
            <w:pPr>
              <w:jc w:val="center"/>
              <w:rPr>
                <w:sz w:val="18"/>
                <w:szCs w:val="18"/>
              </w:rPr>
            </w:pPr>
            <w:r>
              <w:rPr>
                <w:sz w:val="18"/>
                <w:szCs w:val="18"/>
              </w:rPr>
              <w:t>248.27</w:t>
            </w:r>
          </w:p>
        </w:tc>
        <w:tc>
          <w:tcPr>
            <w:tcW w:w="1870" w:type="dxa"/>
            <w:vAlign w:val="center"/>
          </w:tcPr>
          <w:p w14:paraId="7DDF9E3C" w14:textId="77777777" w:rsidR="00CF7329" w:rsidRPr="00A80F8F" w:rsidRDefault="00CF7329" w:rsidP="000C2FB1">
            <w:pPr>
              <w:jc w:val="center"/>
              <w:rPr>
                <w:sz w:val="18"/>
                <w:szCs w:val="18"/>
              </w:rPr>
            </w:pPr>
            <w:r>
              <w:rPr>
                <w:sz w:val="18"/>
                <w:szCs w:val="18"/>
              </w:rPr>
              <w:t>51.02</w:t>
            </w:r>
          </w:p>
        </w:tc>
        <w:tc>
          <w:tcPr>
            <w:tcW w:w="1870" w:type="dxa"/>
            <w:vAlign w:val="center"/>
          </w:tcPr>
          <w:p w14:paraId="06C653D2" w14:textId="77777777" w:rsidR="00CF7329" w:rsidRPr="00A80F8F" w:rsidRDefault="00CF7329" w:rsidP="000C2FB1">
            <w:pPr>
              <w:jc w:val="center"/>
              <w:rPr>
                <w:sz w:val="18"/>
                <w:szCs w:val="18"/>
              </w:rPr>
            </w:pPr>
            <w:r>
              <w:rPr>
                <w:sz w:val="18"/>
                <w:szCs w:val="18"/>
              </w:rPr>
              <w:t>48.98</w:t>
            </w:r>
          </w:p>
        </w:tc>
      </w:tr>
    </w:tbl>
    <w:p w14:paraId="3006985D" w14:textId="77777777" w:rsidR="00CF7329" w:rsidRPr="007679B3" w:rsidRDefault="00CF7329" w:rsidP="00CF7329">
      <w:pPr>
        <w:spacing w:after="0" w:line="240" w:lineRule="auto"/>
        <w:rPr>
          <w:i/>
          <w:sz w:val="16"/>
        </w:rPr>
      </w:pPr>
      <w:r>
        <w:rPr>
          <w:i/>
          <w:sz w:val="16"/>
        </w:rPr>
        <w:t>Note:  For the 2018-19 academic year, this table displays descriptive student achievement data for the ECU Community School, for all other Pitt County students in the same grades, and for students at South Greenville Elementary School (the host school for the ECU Community School).</w:t>
      </w:r>
    </w:p>
    <w:p w14:paraId="4565C1DA" w14:textId="77777777" w:rsidR="00CF7329" w:rsidRDefault="00CF7329" w:rsidP="004A191B">
      <w:pPr>
        <w:spacing w:after="0" w:line="240" w:lineRule="auto"/>
        <w:rPr>
          <w:i/>
        </w:rPr>
      </w:pPr>
    </w:p>
    <w:p w14:paraId="0D2000C7" w14:textId="77777777" w:rsidR="004A191B" w:rsidRDefault="004A191B" w:rsidP="004A191B">
      <w:pPr>
        <w:spacing w:after="0" w:line="240" w:lineRule="auto"/>
        <w:rPr>
          <w:i/>
        </w:rPr>
      </w:pPr>
    </w:p>
    <w:p w14:paraId="1FCA804D" w14:textId="77777777" w:rsidR="004A191B" w:rsidRDefault="004A191B" w:rsidP="004A191B">
      <w:pPr>
        <w:spacing w:after="0" w:line="240" w:lineRule="auto"/>
        <w:rPr>
          <w:i/>
        </w:rPr>
      </w:pPr>
    </w:p>
    <w:p w14:paraId="36A8D1AE" w14:textId="77777777" w:rsidR="004A191B" w:rsidRDefault="004A191B" w:rsidP="004A191B">
      <w:pPr>
        <w:spacing w:after="0" w:line="240" w:lineRule="auto"/>
        <w:rPr>
          <w:i/>
        </w:rPr>
      </w:pPr>
    </w:p>
    <w:p w14:paraId="0580D389" w14:textId="77777777" w:rsidR="004A191B" w:rsidRDefault="004A191B" w:rsidP="004A191B">
      <w:pPr>
        <w:spacing w:after="0" w:line="240" w:lineRule="auto"/>
        <w:rPr>
          <w:i/>
        </w:rPr>
      </w:pPr>
    </w:p>
    <w:p w14:paraId="3A3FE1A6" w14:textId="77777777" w:rsidR="004A191B" w:rsidRDefault="004A191B" w:rsidP="004A191B">
      <w:pPr>
        <w:spacing w:after="0" w:line="240" w:lineRule="auto"/>
        <w:rPr>
          <w:i/>
        </w:rPr>
      </w:pPr>
    </w:p>
    <w:p w14:paraId="3FC05D98" w14:textId="77777777" w:rsidR="004A191B" w:rsidRDefault="004A191B" w:rsidP="004A191B">
      <w:pPr>
        <w:spacing w:after="0" w:line="240" w:lineRule="auto"/>
        <w:rPr>
          <w:i/>
        </w:rPr>
      </w:pPr>
    </w:p>
    <w:p w14:paraId="51D36436" w14:textId="77777777" w:rsidR="004A191B" w:rsidRDefault="004A191B" w:rsidP="004A191B">
      <w:pPr>
        <w:spacing w:after="0" w:line="240" w:lineRule="auto"/>
        <w:rPr>
          <w:i/>
        </w:rPr>
      </w:pPr>
    </w:p>
    <w:p w14:paraId="35B85D36" w14:textId="38ADC9A4" w:rsidR="004A191B" w:rsidRDefault="004A191B" w:rsidP="004A191B">
      <w:pPr>
        <w:spacing w:after="0" w:line="240" w:lineRule="auto"/>
        <w:rPr>
          <w:i/>
        </w:rPr>
      </w:pPr>
    </w:p>
    <w:p w14:paraId="7E1D7363" w14:textId="4AE0A2DD" w:rsidR="00AF1AFF" w:rsidRDefault="00AF1AFF" w:rsidP="004A191B">
      <w:pPr>
        <w:spacing w:after="0" w:line="240" w:lineRule="auto"/>
        <w:rPr>
          <w:i/>
        </w:rPr>
      </w:pPr>
    </w:p>
    <w:p w14:paraId="26D4C28A" w14:textId="4B380232" w:rsidR="00AF1AFF" w:rsidRDefault="00AF1AFF" w:rsidP="004A191B">
      <w:pPr>
        <w:spacing w:after="0" w:line="240" w:lineRule="auto"/>
        <w:rPr>
          <w:i/>
        </w:rPr>
      </w:pPr>
    </w:p>
    <w:p w14:paraId="3EB91EBE" w14:textId="5EDD2C0C" w:rsidR="00AF1AFF" w:rsidRDefault="00AF1AFF" w:rsidP="004A191B">
      <w:pPr>
        <w:spacing w:after="0" w:line="240" w:lineRule="auto"/>
        <w:rPr>
          <w:i/>
        </w:rPr>
      </w:pPr>
    </w:p>
    <w:p w14:paraId="65EFBE12" w14:textId="395BA017" w:rsidR="00AF1AFF" w:rsidRDefault="00AF1AFF" w:rsidP="004A191B">
      <w:pPr>
        <w:spacing w:after="0" w:line="240" w:lineRule="auto"/>
        <w:rPr>
          <w:i/>
        </w:rPr>
      </w:pPr>
    </w:p>
    <w:p w14:paraId="0B196D3F" w14:textId="6980CA06" w:rsidR="00AF1AFF" w:rsidRDefault="00AF1AFF" w:rsidP="004A191B">
      <w:pPr>
        <w:spacing w:after="0" w:line="240" w:lineRule="auto"/>
        <w:rPr>
          <w:i/>
        </w:rPr>
      </w:pPr>
    </w:p>
    <w:p w14:paraId="0CD3349B" w14:textId="1D95CB6B" w:rsidR="00AF1AFF" w:rsidRDefault="00AF1AFF" w:rsidP="004A191B">
      <w:pPr>
        <w:spacing w:after="0" w:line="240" w:lineRule="auto"/>
        <w:rPr>
          <w:i/>
        </w:rPr>
      </w:pPr>
    </w:p>
    <w:p w14:paraId="16A988B0" w14:textId="00ED7FFD" w:rsidR="00AF1AFF" w:rsidRDefault="00AF1AFF" w:rsidP="004A191B">
      <w:pPr>
        <w:spacing w:after="0" w:line="240" w:lineRule="auto"/>
        <w:rPr>
          <w:i/>
        </w:rPr>
      </w:pPr>
    </w:p>
    <w:p w14:paraId="3253BB4B" w14:textId="5144F06E" w:rsidR="00AF1AFF" w:rsidRDefault="00AF1AFF" w:rsidP="004A191B">
      <w:pPr>
        <w:spacing w:after="0" w:line="240" w:lineRule="auto"/>
        <w:rPr>
          <w:i/>
        </w:rPr>
      </w:pPr>
    </w:p>
    <w:p w14:paraId="5CC89C8A" w14:textId="172A43EF" w:rsidR="00AF1AFF" w:rsidRDefault="00AF1AFF" w:rsidP="004A191B">
      <w:pPr>
        <w:spacing w:after="0" w:line="240" w:lineRule="auto"/>
        <w:rPr>
          <w:i/>
        </w:rPr>
      </w:pPr>
    </w:p>
    <w:p w14:paraId="4B7CED95" w14:textId="12B34B18" w:rsidR="00AF1AFF" w:rsidRDefault="00AF1AFF" w:rsidP="004A191B">
      <w:pPr>
        <w:spacing w:after="0" w:line="240" w:lineRule="auto"/>
        <w:rPr>
          <w:i/>
        </w:rPr>
      </w:pPr>
    </w:p>
    <w:p w14:paraId="035482A8" w14:textId="5C251D94" w:rsidR="00AF1AFF" w:rsidRDefault="00AF1AFF" w:rsidP="004A191B">
      <w:pPr>
        <w:spacing w:after="0" w:line="240" w:lineRule="auto"/>
        <w:rPr>
          <w:i/>
        </w:rPr>
      </w:pPr>
    </w:p>
    <w:p w14:paraId="16EC999A" w14:textId="0DCD6378" w:rsidR="00AF1AFF" w:rsidRDefault="00AF1AFF" w:rsidP="004A191B">
      <w:pPr>
        <w:spacing w:after="0" w:line="240" w:lineRule="auto"/>
        <w:rPr>
          <w:i/>
        </w:rPr>
      </w:pPr>
    </w:p>
    <w:p w14:paraId="1B6DA0C1" w14:textId="57BCBB64" w:rsidR="00AF1AFF" w:rsidRDefault="00AF1AFF" w:rsidP="004A191B">
      <w:pPr>
        <w:spacing w:after="0" w:line="240" w:lineRule="auto"/>
        <w:rPr>
          <w:i/>
        </w:rPr>
      </w:pPr>
    </w:p>
    <w:p w14:paraId="57BB4B8E" w14:textId="77FECCDB" w:rsidR="00AF1AFF" w:rsidRDefault="00AF1AFF" w:rsidP="00AF1AFF">
      <w:pPr>
        <w:spacing w:after="0" w:line="240" w:lineRule="auto"/>
        <w:rPr>
          <w:i/>
        </w:rPr>
      </w:pPr>
      <w:r>
        <w:rPr>
          <w:i/>
        </w:rPr>
        <w:lastRenderedPageBreak/>
        <w:t>Appendix Table A5.3:  2018-19 Test Score Data for the Moss Street Partnership School and Other, Same-Grade Students in Rockingham County Schools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85"/>
        <w:gridCol w:w="955"/>
        <w:gridCol w:w="1870"/>
        <w:gridCol w:w="1870"/>
        <w:gridCol w:w="1870"/>
      </w:tblGrid>
      <w:tr w:rsidR="00AF1AFF" w14:paraId="45C68EF0" w14:textId="77777777" w:rsidTr="000C2FB1">
        <w:tc>
          <w:tcPr>
            <w:tcW w:w="2785" w:type="dxa"/>
            <w:shd w:val="clear" w:color="auto" w:fill="F2F2F2" w:themeFill="background1" w:themeFillShade="F2"/>
            <w:vAlign w:val="center"/>
          </w:tcPr>
          <w:p w14:paraId="474E6645" w14:textId="77777777" w:rsidR="00AF1AFF" w:rsidRPr="00A80F8F" w:rsidRDefault="00AF1AFF" w:rsidP="000C2FB1">
            <w:pPr>
              <w:jc w:val="center"/>
              <w:rPr>
                <w:sz w:val="18"/>
              </w:rPr>
            </w:pPr>
            <w:r>
              <w:rPr>
                <w:sz w:val="18"/>
              </w:rPr>
              <w:t>Test</w:t>
            </w:r>
          </w:p>
        </w:tc>
        <w:tc>
          <w:tcPr>
            <w:tcW w:w="955" w:type="dxa"/>
            <w:shd w:val="clear" w:color="auto" w:fill="F2F2F2" w:themeFill="background1" w:themeFillShade="F2"/>
            <w:vAlign w:val="center"/>
          </w:tcPr>
          <w:p w14:paraId="25B63D2F" w14:textId="77777777" w:rsidR="00AF1AFF" w:rsidRPr="00A80F8F" w:rsidRDefault="00AF1AFF" w:rsidP="000C2FB1">
            <w:pPr>
              <w:jc w:val="center"/>
              <w:rPr>
                <w:sz w:val="18"/>
              </w:rPr>
            </w:pPr>
            <w:r>
              <w:rPr>
                <w:sz w:val="18"/>
              </w:rPr>
              <w:t>Student Count</w:t>
            </w:r>
          </w:p>
        </w:tc>
        <w:tc>
          <w:tcPr>
            <w:tcW w:w="1870" w:type="dxa"/>
            <w:shd w:val="clear" w:color="auto" w:fill="F2F2F2" w:themeFill="background1" w:themeFillShade="F2"/>
            <w:vAlign w:val="center"/>
          </w:tcPr>
          <w:p w14:paraId="5B55FEED" w14:textId="77777777" w:rsidR="00AF1AFF" w:rsidRPr="00A80F8F" w:rsidRDefault="00AF1AFF" w:rsidP="000C2FB1">
            <w:pPr>
              <w:jc w:val="center"/>
              <w:rPr>
                <w:sz w:val="18"/>
              </w:rPr>
            </w:pPr>
            <w:r>
              <w:rPr>
                <w:sz w:val="18"/>
              </w:rPr>
              <w:t>Average Test Score</w:t>
            </w:r>
          </w:p>
        </w:tc>
        <w:tc>
          <w:tcPr>
            <w:tcW w:w="1870" w:type="dxa"/>
            <w:shd w:val="clear" w:color="auto" w:fill="F2F2F2" w:themeFill="background1" w:themeFillShade="F2"/>
            <w:vAlign w:val="center"/>
          </w:tcPr>
          <w:p w14:paraId="0D21B58C" w14:textId="77777777" w:rsidR="00AF1AFF" w:rsidRPr="00A80F8F" w:rsidRDefault="00AF1AFF" w:rsidP="000C2FB1">
            <w:pPr>
              <w:jc w:val="center"/>
              <w:rPr>
                <w:sz w:val="18"/>
              </w:rPr>
            </w:pPr>
            <w:r>
              <w:rPr>
                <w:sz w:val="18"/>
              </w:rPr>
              <w:t>Percent Below Proficient</w:t>
            </w:r>
          </w:p>
        </w:tc>
        <w:tc>
          <w:tcPr>
            <w:tcW w:w="1870" w:type="dxa"/>
            <w:shd w:val="clear" w:color="auto" w:fill="F2F2F2" w:themeFill="background1" w:themeFillShade="F2"/>
            <w:vAlign w:val="center"/>
          </w:tcPr>
          <w:p w14:paraId="613E8177" w14:textId="77777777" w:rsidR="00AF1AFF" w:rsidRDefault="00AF1AFF" w:rsidP="000C2FB1">
            <w:pPr>
              <w:jc w:val="center"/>
              <w:rPr>
                <w:sz w:val="18"/>
              </w:rPr>
            </w:pPr>
            <w:r>
              <w:rPr>
                <w:sz w:val="18"/>
              </w:rPr>
              <w:t xml:space="preserve">Percent Proficient </w:t>
            </w:r>
          </w:p>
          <w:p w14:paraId="35F9A89E" w14:textId="77777777" w:rsidR="00AF1AFF" w:rsidRPr="00A80F8F" w:rsidRDefault="00AF1AFF" w:rsidP="000C2FB1">
            <w:pPr>
              <w:jc w:val="center"/>
              <w:rPr>
                <w:sz w:val="18"/>
              </w:rPr>
            </w:pPr>
            <w:r>
              <w:rPr>
                <w:sz w:val="18"/>
              </w:rPr>
              <w:t>or Above</w:t>
            </w:r>
          </w:p>
        </w:tc>
      </w:tr>
      <w:tr w:rsidR="00AF1AFF" w14:paraId="0CE46536" w14:textId="77777777" w:rsidTr="000C2FB1">
        <w:tc>
          <w:tcPr>
            <w:tcW w:w="9350" w:type="dxa"/>
            <w:gridSpan w:val="5"/>
            <w:vAlign w:val="center"/>
          </w:tcPr>
          <w:p w14:paraId="6D666959" w14:textId="77777777" w:rsidR="00AF1AFF" w:rsidRPr="00A80F8F" w:rsidRDefault="00AF1AFF" w:rsidP="000C2FB1">
            <w:pPr>
              <w:jc w:val="center"/>
              <w:rPr>
                <w:i/>
                <w:sz w:val="18"/>
              </w:rPr>
            </w:pPr>
            <w:r>
              <w:rPr>
                <w:i/>
                <w:sz w:val="18"/>
              </w:rPr>
              <w:t>Moss Street Partnership School</w:t>
            </w:r>
          </w:p>
        </w:tc>
      </w:tr>
      <w:tr w:rsidR="00AF1AFF" w14:paraId="6EF3BD51" w14:textId="77777777" w:rsidTr="000C2FB1">
        <w:tc>
          <w:tcPr>
            <w:tcW w:w="2785" w:type="dxa"/>
            <w:vAlign w:val="center"/>
          </w:tcPr>
          <w:p w14:paraId="310B6F0F" w14:textId="77777777" w:rsidR="00AF1AFF" w:rsidRPr="00A80F8F" w:rsidRDefault="00AF1AFF" w:rsidP="000C2FB1">
            <w:pPr>
              <w:jc w:val="right"/>
              <w:rPr>
                <w:sz w:val="18"/>
              </w:rPr>
            </w:pPr>
            <w:r>
              <w:rPr>
                <w:sz w:val="18"/>
              </w:rPr>
              <w:t xml:space="preserve"> 3</w:t>
            </w:r>
            <w:r w:rsidRPr="00A80F8F">
              <w:rPr>
                <w:sz w:val="18"/>
                <w:vertAlign w:val="superscript"/>
              </w:rPr>
              <w:t>rd</w:t>
            </w:r>
            <w:r>
              <w:rPr>
                <w:sz w:val="18"/>
              </w:rPr>
              <w:t xml:space="preserve"> Grade Reading</w:t>
            </w:r>
          </w:p>
        </w:tc>
        <w:tc>
          <w:tcPr>
            <w:tcW w:w="955" w:type="dxa"/>
            <w:vAlign w:val="center"/>
          </w:tcPr>
          <w:p w14:paraId="1EB04CE5" w14:textId="77777777" w:rsidR="00AF1AFF" w:rsidRPr="00A80F8F" w:rsidRDefault="00AF1AFF" w:rsidP="000C2FB1">
            <w:pPr>
              <w:jc w:val="center"/>
              <w:rPr>
                <w:sz w:val="18"/>
                <w:szCs w:val="18"/>
              </w:rPr>
            </w:pPr>
            <w:r>
              <w:rPr>
                <w:sz w:val="18"/>
                <w:szCs w:val="18"/>
              </w:rPr>
              <w:t>44</w:t>
            </w:r>
          </w:p>
        </w:tc>
        <w:tc>
          <w:tcPr>
            <w:tcW w:w="1870" w:type="dxa"/>
            <w:vAlign w:val="center"/>
          </w:tcPr>
          <w:p w14:paraId="6C82BABD" w14:textId="77777777" w:rsidR="00AF1AFF" w:rsidRPr="00A80F8F" w:rsidRDefault="00AF1AFF" w:rsidP="000C2FB1">
            <w:pPr>
              <w:jc w:val="center"/>
              <w:rPr>
                <w:sz w:val="18"/>
                <w:szCs w:val="18"/>
              </w:rPr>
            </w:pPr>
            <w:r>
              <w:rPr>
                <w:sz w:val="18"/>
                <w:szCs w:val="18"/>
              </w:rPr>
              <w:t>426.61</w:t>
            </w:r>
          </w:p>
        </w:tc>
        <w:tc>
          <w:tcPr>
            <w:tcW w:w="1870" w:type="dxa"/>
            <w:vAlign w:val="center"/>
          </w:tcPr>
          <w:p w14:paraId="6E42E4C9" w14:textId="77777777" w:rsidR="00AF1AFF" w:rsidRPr="00A80F8F" w:rsidRDefault="00AF1AFF" w:rsidP="000C2FB1">
            <w:pPr>
              <w:jc w:val="center"/>
              <w:rPr>
                <w:sz w:val="18"/>
                <w:szCs w:val="18"/>
              </w:rPr>
            </w:pPr>
            <w:r>
              <w:rPr>
                <w:sz w:val="18"/>
                <w:szCs w:val="18"/>
              </w:rPr>
              <w:t>88.64</w:t>
            </w:r>
          </w:p>
        </w:tc>
        <w:tc>
          <w:tcPr>
            <w:tcW w:w="1870" w:type="dxa"/>
            <w:vAlign w:val="center"/>
          </w:tcPr>
          <w:p w14:paraId="174FE43D" w14:textId="77777777" w:rsidR="00AF1AFF" w:rsidRPr="00A80F8F" w:rsidRDefault="00AF1AFF" w:rsidP="000C2FB1">
            <w:pPr>
              <w:jc w:val="center"/>
              <w:rPr>
                <w:sz w:val="18"/>
                <w:szCs w:val="18"/>
              </w:rPr>
            </w:pPr>
            <w:r>
              <w:rPr>
                <w:sz w:val="18"/>
                <w:szCs w:val="18"/>
              </w:rPr>
              <w:t>11.36</w:t>
            </w:r>
          </w:p>
        </w:tc>
      </w:tr>
      <w:tr w:rsidR="00AF1AFF" w14:paraId="11250E5B" w14:textId="77777777" w:rsidTr="000C2FB1">
        <w:tc>
          <w:tcPr>
            <w:tcW w:w="2785" w:type="dxa"/>
            <w:vAlign w:val="center"/>
          </w:tcPr>
          <w:p w14:paraId="17B2BF5E" w14:textId="77777777" w:rsidR="00AF1AFF" w:rsidRPr="00A80F8F" w:rsidRDefault="00AF1AFF" w:rsidP="000C2FB1">
            <w:pPr>
              <w:jc w:val="right"/>
              <w:rPr>
                <w:sz w:val="18"/>
              </w:rPr>
            </w:pPr>
            <w:r>
              <w:rPr>
                <w:sz w:val="18"/>
              </w:rPr>
              <w:t>4</w:t>
            </w:r>
            <w:r w:rsidRPr="00A80F8F">
              <w:rPr>
                <w:sz w:val="18"/>
                <w:vertAlign w:val="superscript"/>
              </w:rPr>
              <w:t>th</w:t>
            </w:r>
            <w:r>
              <w:rPr>
                <w:sz w:val="18"/>
              </w:rPr>
              <w:t xml:space="preserve"> Grade Reading</w:t>
            </w:r>
          </w:p>
        </w:tc>
        <w:tc>
          <w:tcPr>
            <w:tcW w:w="955" w:type="dxa"/>
            <w:vAlign w:val="center"/>
          </w:tcPr>
          <w:p w14:paraId="3F644533" w14:textId="77777777" w:rsidR="00AF1AFF" w:rsidRPr="00A80F8F" w:rsidRDefault="00AF1AFF" w:rsidP="000C2FB1">
            <w:pPr>
              <w:jc w:val="center"/>
              <w:rPr>
                <w:sz w:val="18"/>
                <w:szCs w:val="18"/>
              </w:rPr>
            </w:pPr>
            <w:r>
              <w:rPr>
                <w:sz w:val="18"/>
                <w:szCs w:val="18"/>
              </w:rPr>
              <w:t>69</w:t>
            </w:r>
          </w:p>
        </w:tc>
        <w:tc>
          <w:tcPr>
            <w:tcW w:w="1870" w:type="dxa"/>
            <w:vAlign w:val="center"/>
          </w:tcPr>
          <w:p w14:paraId="04BF9D62" w14:textId="77777777" w:rsidR="00AF1AFF" w:rsidRPr="00A80F8F" w:rsidRDefault="00AF1AFF" w:rsidP="000C2FB1">
            <w:pPr>
              <w:jc w:val="center"/>
              <w:rPr>
                <w:sz w:val="18"/>
                <w:szCs w:val="18"/>
              </w:rPr>
            </w:pPr>
            <w:r>
              <w:rPr>
                <w:sz w:val="18"/>
                <w:szCs w:val="18"/>
              </w:rPr>
              <w:t>435.99</w:t>
            </w:r>
          </w:p>
        </w:tc>
        <w:tc>
          <w:tcPr>
            <w:tcW w:w="1870" w:type="dxa"/>
            <w:vAlign w:val="center"/>
          </w:tcPr>
          <w:p w14:paraId="460562A3" w14:textId="77777777" w:rsidR="00AF1AFF" w:rsidRPr="00A80F8F" w:rsidRDefault="00AF1AFF" w:rsidP="000C2FB1">
            <w:pPr>
              <w:jc w:val="center"/>
              <w:rPr>
                <w:sz w:val="18"/>
                <w:szCs w:val="18"/>
              </w:rPr>
            </w:pPr>
            <w:r>
              <w:rPr>
                <w:sz w:val="18"/>
                <w:szCs w:val="18"/>
              </w:rPr>
              <w:t>82.61</w:t>
            </w:r>
          </w:p>
        </w:tc>
        <w:tc>
          <w:tcPr>
            <w:tcW w:w="1870" w:type="dxa"/>
            <w:vAlign w:val="center"/>
          </w:tcPr>
          <w:p w14:paraId="57A5DD3B" w14:textId="77777777" w:rsidR="00AF1AFF" w:rsidRPr="00A80F8F" w:rsidRDefault="00AF1AFF" w:rsidP="000C2FB1">
            <w:pPr>
              <w:jc w:val="center"/>
              <w:rPr>
                <w:sz w:val="18"/>
                <w:szCs w:val="18"/>
              </w:rPr>
            </w:pPr>
            <w:r>
              <w:rPr>
                <w:sz w:val="18"/>
                <w:szCs w:val="18"/>
              </w:rPr>
              <w:t>17.39</w:t>
            </w:r>
          </w:p>
        </w:tc>
      </w:tr>
      <w:tr w:rsidR="00AF1AFF" w14:paraId="0BDF82A1" w14:textId="77777777" w:rsidTr="000C2FB1">
        <w:tc>
          <w:tcPr>
            <w:tcW w:w="2785" w:type="dxa"/>
            <w:vAlign w:val="center"/>
          </w:tcPr>
          <w:p w14:paraId="55A47E71" w14:textId="77777777" w:rsidR="00AF1AFF" w:rsidRDefault="00AF1AFF" w:rsidP="000C2FB1">
            <w:pPr>
              <w:jc w:val="right"/>
              <w:rPr>
                <w:sz w:val="18"/>
              </w:rPr>
            </w:pPr>
            <w:r>
              <w:rPr>
                <w:sz w:val="18"/>
              </w:rPr>
              <w:t>5</w:t>
            </w:r>
            <w:r w:rsidRPr="000F1F8B">
              <w:rPr>
                <w:sz w:val="18"/>
                <w:vertAlign w:val="superscript"/>
              </w:rPr>
              <w:t>th</w:t>
            </w:r>
            <w:r>
              <w:rPr>
                <w:sz w:val="18"/>
              </w:rPr>
              <w:t xml:space="preserve"> Grade Reading</w:t>
            </w:r>
          </w:p>
        </w:tc>
        <w:tc>
          <w:tcPr>
            <w:tcW w:w="955" w:type="dxa"/>
            <w:vAlign w:val="center"/>
          </w:tcPr>
          <w:p w14:paraId="22939689" w14:textId="77777777" w:rsidR="00AF1AFF" w:rsidRDefault="00AF1AFF" w:rsidP="000C2FB1">
            <w:pPr>
              <w:jc w:val="center"/>
              <w:rPr>
                <w:sz w:val="18"/>
                <w:szCs w:val="18"/>
              </w:rPr>
            </w:pPr>
            <w:r>
              <w:rPr>
                <w:sz w:val="18"/>
                <w:szCs w:val="18"/>
              </w:rPr>
              <w:t>59</w:t>
            </w:r>
          </w:p>
        </w:tc>
        <w:tc>
          <w:tcPr>
            <w:tcW w:w="1870" w:type="dxa"/>
            <w:vAlign w:val="center"/>
          </w:tcPr>
          <w:p w14:paraId="1302C550" w14:textId="77777777" w:rsidR="00AF1AFF" w:rsidRDefault="00AF1AFF" w:rsidP="000C2FB1">
            <w:pPr>
              <w:jc w:val="center"/>
              <w:rPr>
                <w:sz w:val="18"/>
                <w:szCs w:val="18"/>
              </w:rPr>
            </w:pPr>
            <w:r>
              <w:rPr>
                <w:sz w:val="18"/>
                <w:szCs w:val="18"/>
              </w:rPr>
              <w:t>440.12</w:t>
            </w:r>
          </w:p>
        </w:tc>
        <w:tc>
          <w:tcPr>
            <w:tcW w:w="1870" w:type="dxa"/>
            <w:vAlign w:val="center"/>
          </w:tcPr>
          <w:p w14:paraId="6C5842BC" w14:textId="77777777" w:rsidR="00AF1AFF" w:rsidRDefault="00AF1AFF" w:rsidP="000C2FB1">
            <w:pPr>
              <w:jc w:val="center"/>
              <w:rPr>
                <w:sz w:val="18"/>
                <w:szCs w:val="18"/>
              </w:rPr>
            </w:pPr>
            <w:r>
              <w:rPr>
                <w:sz w:val="18"/>
                <w:szCs w:val="18"/>
              </w:rPr>
              <w:t>84.75</w:t>
            </w:r>
          </w:p>
        </w:tc>
        <w:tc>
          <w:tcPr>
            <w:tcW w:w="1870" w:type="dxa"/>
            <w:vAlign w:val="center"/>
          </w:tcPr>
          <w:p w14:paraId="11051ABD" w14:textId="77777777" w:rsidR="00AF1AFF" w:rsidRDefault="00AF1AFF" w:rsidP="000C2FB1">
            <w:pPr>
              <w:jc w:val="center"/>
              <w:rPr>
                <w:sz w:val="18"/>
                <w:szCs w:val="18"/>
              </w:rPr>
            </w:pPr>
            <w:r>
              <w:rPr>
                <w:sz w:val="18"/>
                <w:szCs w:val="18"/>
              </w:rPr>
              <w:t>15.25</w:t>
            </w:r>
          </w:p>
        </w:tc>
      </w:tr>
      <w:tr w:rsidR="00AF1AFF" w14:paraId="03CA494B" w14:textId="77777777" w:rsidTr="000C2FB1">
        <w:tc>
          <w:tcPr>
            <w:tcW w:w="2785" w:type="dxa"/>
            <w:vAlign w:val="center"/>
          </w:tcPr>
          <w:p w14:paraId="18A31649" w14:textId="77777777" w:rsidR="00AF1AFF" w:rsidRPr="00A80F8F" w:rsidRDefault="00AF1AFF" w:rsidP="000C2FB1">
            <w:pPr>
              <w:jc w:val="right"/>
              <w:rPr>
                <w:sz w:val="18"/>
              </w:rPr>
            </w:pPr>
            <w:r>
              <w:rPr>
                <w:sz w:val="18"/>
              </w:rPr>
              <w:t>3</w:t>
            </w:r>
            <w:r w:rsidRPr="00A80F8F">
              <w:rPr>
                <w:sz w:val="18"/>
                <w:vertAlign w:val="superscript"/>
              </w:rPr>
              <w:t>rd</w:t>
            </w:r>
            <w:r>
              <w:rPr>
                <w:sz w:val="18"/>
              </w:rPr>
              <w:t xml:space="preserve"> Grade Math</w:t>
            </w:r>
          </w:p>
        </w:tc>
        <w:tc>
          <w:tcPr>
            <w:tcW w:w="955" w:type="dxa"/>
            <w:vAlign w:val="center"/>
          </w:tcPr>
          <w:p w14:paraId="439AA00C" w14:textId="77777777" w:rsidR="00AF1AFF" w:rsidRPr="00A80F8F" w:rsidRDefault="00AF1AFF" w:rsidP="000C2FB1">
            <w:pPr>
              <w:jc w:val="center"/>
              <w:rPr>
                <w:sz w:val="18"/>
                <w:szCs w:val="18"/>
              </w:rPr>
            </w:pPr>
            <w:r>
              <w:rPr>
                <w:sz w:val="18"/>
                <w:szCs w:val="18"/>
              </w:rPr>
              <w:t>44</w:t>
            </w:r>
          </w:p>
        </w:tc>
        <w:tc>
          <w:tcPr>
            <w:tcW w:w="1870" w:type="dxa"/>
            <w:vAlign w:val="center"/>
          </w:tcPr>
          <w:p w14:paraId="1DFAC8AC" w14:textId="77777777" w:rsidR="00AF1AFF" w:rsidRPr="00A80F8F" w:rsidRDefault="00AF1AFF" w:rsidP="000C2FB1">
            <w:pPr>
              <w:jc w:val="center"/>
              <w:rPr>
                <w:sz w:val="18"/>
                <w:szCs w:val="18"/>
              </w:rPr>
            </w:pPr>
            <w:r>
              <w:rPr>
                <w:sz w:val="18"/>
                <w:szCs w:val="18"/>
              </w:rPr>
              <w:t>537.39</w:t>
            </w:r>
          </w:p>
        </w:tc>
        <w:tc>
          <w:tcPr>
            <w:tcW w:w="1870" w:type="dxa"/>
            <w:vAlign w:val="center"/>
          </w:tcPr>
          <w:p w14:paraId="38F13FEF" w14:textId="77777777" w:rsidR="00AF1AFF" w:rsidRPr="00A80F8F" w:rsidRDefault="00AF1AFF" w:rsidP="000C2FB1">
            <w:pPr>
              <w:jc w:val="center"/>
              <w:rPr>
                <w:sz w:val="18"/>
                <w:szCs w:val="18"/>
              </w:rPr>
            </w:pPr>
            <w:r>
              <w:rPr>
                <w:sz w:val="18"/>
                <w:szCs w:val="18"/>
              </w:rPr>
              <w:t>86.36</w:t>
            </w:r>
          </w:p>
        </w:tc>
        <w:tc>
          <w:tcPr>
            <w:tcW w:w="1870" w:type="dxa"/>
            <w:vAlign w:val="center"/>
          </w:tcPr>
          <w:p w14:paraId="1A2E7850" w14:textId="77777777" w:rsidR="00AF1AFF" w:rsidRPr="00A80F8F" w:rsidRDefault="00AF1AFF" w:rsidP="000C2FB1">
            <w:pPr>
              <w:jc w:val="center"/>
              <w:rPr>
                <w:sz w:val="18"/>
                <w:szCs w:val="18"/>
              </w:rPr>
            </w:pPr>
            <w:r>
              <w:rPr>
                <w:sz w:val="18"/>
                <w:szCs w:val="18"/>
              </w:rPr>
              <w:t>13.64</w:t>
            </w:r>
          </w:p>
        </w:tc>
      </w:tr>
      <w:tr w:rsidR="00AF1AFF" w14:paraId="1A76BBB4" w14:textId="77777777" w:rsidTr="000C2FB1">
        <w:tc>
          <w:tcPr>
            <w:tcW w:w="2785" w:type="dxa"/>
            <w:vAlign w:val="center"/>
          </w:tcPr>
          <w:p w14:paraId="026A6684" w14:textId="77777777" w:rsidR="00AF1AFF" w:rsidRPr="00A80F8F" w:rsidRDefault="00AF1AFF" w:rsidP="000C2FB1">
            <w:pPr>
              <w:jc w:val="right"/>
              <w:rPr>
                <w:sz w:val="18"/>
              </w:rPr>
            </w:pPr>
            <w:r>
              <w:rPr>
                <w:sz w:val="18"/>
              </w:rPr>
              <w:t>4</w:t>
            </w:r>
            <w:r w:rsidRPr="00A80F8F">
              <w:rPr>
                <w:sz w:val="18"/>
                <w:vertAlign w:val="superscript"/>
              </w:rPr>
              <w:t>th</w:t>
            </w:r>
            <w:r>
              <w:rPr>
                <w:sz w:val="18"/>
              </w:rPr>
              <w:t xml:space="preserve"> Grade Math</w:t>
            </w:r>
          </w:p>
        </w:tc>
        <w:tc>
          <w:tcPr>
            <w:tcW w:w="955" w:type="dxa"/>
            <w:vAlign w:val="center"/>
          </w:tcPr>
          <w:p w14:paraId="46EB8622" w14:textId="77777777" w:rsidR="00AF1AFF" w:rsidRPr="00A80F8F" w:rsidRDefault="00AF1AFF" w:rsidP="000C2FB1">
            <w:pPr>
              <w:jc w:val="center"/>
              <w:rPr>
                <w:sz w:val="18"/>
                <w:szCs w:val="18"/>
              </w:rPr>
            </w:pPr>
            <w:r>
              <w:rPr>
                <w:sz w:val="18"/>
                <w:szCs w:val="18"/>
              </w:rPr>
              <w:t>69</w:t>
            </w:r>
          </w:p>
        </w:tc>
        <w:tc>
          <w:tcPr>
            <w:tcW w:w="1870" w:type="dxa"/>
            <w:vAlign w:val="center"/>
          </w:tcPr>
          <w:p w14:paraId="54859853" w14:textId="77777777" w:rsidR="00AF1AFF" w:rsidRPr="00A80F8F" w:rsidRDefault="00AF1AFF" w:rsidP="000C2FB1">
            <w:pPr>
              <w:jc w:val="center"/>
              <w:rPr>
                <w:sz w:val="18"/>
                <w:szCs w:val="18"/>
              </w:rPr>
            </w:pPr>
            <w:r>
              <w:rPr>
                <w:sz w:val="18"/>
                <w:szCs w:val="18"/>
              </w:rPr>
              <w:t>538.23</w:t>
            </w:r>
          </w:p>
        </w:tc>
        <w:tc>
          <w:tcPr>
            <w:tcW w:w="1870" w:type="dxa"/>
            <w:vAlign w:val="center"/>
          </w:tcPr>
          <w:p w14:paraId="24318E0F" w14:textId="77777777" w:rsidR="00AF1AFF" w:rsidRPr="00A80F8F" w:rsidRDefault="00AF1AFF" w:rsidP="000C2FB1">
            <w:pPr>
              <w:jc w:val="center"/>
              <w:rPr>
                <w:sz w:val="18"/>
                <w:szCs w:val="18"/>
              </w:rPr>
            </w:pPr>
            <w:r>
              <w:rPr>
                <w:sz w:val="18"/>
                <w:szCs w:val="18"/>
              </w:rPr>
              <w:t>86.96</w:t>
            </w:r>
          </w:p>
        </w:tc>
        <w:tc>
          <w:tcPr>
            <w:tcW w:w="1870" w:type="dxa"/>
            <w:vAlign w:val="center"/>
          </w:tcPr>
          <w:p w14:paraId="1C238A20" w14:textId="77777777" w:rsidR="00AF1AFF" w:rsidRPr="00A80F8F" w:rsidRDefault="00AF1AFF" w:rsidP="000C2FB1">
            <w:pPr>
              <w:jc w:val="center"/>
              <w:rPr>
                <w:sz w:val="18"/>
                <w:szCs w:val="18"/>
              </w:rPr>
            </w:pPr>
            <w:r>
              <w:rPr>
                <w:sz w:val="18"/>
                <w:szCs w:val="18"/>
              </w:rPr>
              <w:t>13.04</w:t>
            </w:r>
          </w:p>
        </w:tc>
      </w:tr>
      <w:tr w:rsidR="00AF1AFF" w14:paraId="3C965A9E" w14:textId="77777777" w:rsidTr="000C2FB1">
        <w:tc>
          <w:tcPr>
            <w:tcW w:w="2785" w:type="dxa"/>
            <w:vAlign w:val="center"/>
          </w:tcPr>
          <w:p w14:paraId="580BA635" w14:textId="77777777" w:rsidR="00AF1AFF" w:rsidRDefault="00AF1AFF" w:rsidP="000C2FB1">
            <w:pPr>
              <w:jc w:val="right"/>
              <w:rPr>
                <w:sz w:val="18"/>
              </w:rPr>
            </w:pPr>
            <w:r>
              <w:rPr>
                <w:sz w:val="18"/>
              </w:rPr>
              <w:t>5</w:t>
            </w:r>
            <w:r w:rsidRPr="000F1F8B">
              <w:rPr>
                <w:sz w:val="18"/>
                <w:vertAlign w:val="superscript"/>
              </w:rPr>
              <w:t>th</w:t>
            </w:r>
            <w:r>
              <w:rPr>
                <w:sz w:val="18"/>
              </w:rPr>
              <w:t xml:space="preserve"> Grade Math</w:t>
            </w:r>
          </w:p>
        </w:tc>
        <w:tc>
          <w:tcPr>
            <w:tcW w:w="955" w:type="dxa"/>
            <w:vAlign w:val="center"/>
          </w:tcPr>
          <w:p w14:paraId="51F41379" w14:textId="77777777" w:rsidR="00AF1AFF" w:rsidRDefault="00AF1AFF" w:rsidP="000C2FB1">
            <w:pPr>
              <w:jc w:val="center"/>
              <w:rPr>
                <w:sz w:val="18"/>
                <w:szCs w:val="18"/>
              </w:rPr>
            </w:pPr>
            <w:r>
              <w:rPr>
                <w:sz w:val="18"/>
                <w:szCs w:val="18"/>
              </w:rPr>
              <w:t>58</w:t>
            </w:r>
          </w:p>
        </w:tc>
        <w:tc>
          <w:tcPr>
            <w:tcW w:w="1870" w:type="dxa"/>
            <w:vAlign w:val="center"/>
          </w:tcPr>
          <w:p w14:paraId="1B9BE918" w14:textId="77777777" w:rsidR="00AF1AFF" w:rsidRDefault="00AF1AFF" w:rsidP="000C2FB1">
            <w:pPr>
              <w:jc w:val="center"/>
              <w:rPr>
                <w:sz w:val="18"/>
                <w:szCs w:val="18"/>
              </w:rPr>
            </w:pPr>
            <w:r>
              <w:rPr>
                <w:sz w:val="18"/>
                <w:szCs w:val="18"/>
              </w:rPr>
              <w:t>537.40</w:t>
            </w:r>
          </w:p>
        </w:tc>
        <w:tc>
          <w:tcPr>
            <w:tcW w:w="1870" w:type="dxa"/>
            <w:vAlign w:val="center"/>
          </w:tcPr>
          <w:p w14:paraId="4749F2EB" w14:textId="77777777" w:rsidR="00AF1AFF" w:rsidRDefault="00AF1AFF" w:rsidP="000C2FB1">
            <w:pPr>
              <w:jc w:val="center"/>
              <w:rPr>
                <w:sz w:val="18"/>
                <w:szCs w:val="18"/>
              </w:rPr>
            </w:pPr>
            <w:r>
              <w:rPr>
                <w:sz w:val="18"/>
                <w:szCs w:val="18"/>
              </w:rPr>
              <w:t>81.03</w:t>
            </w:r>
          </w:p>
        </w:tc>
        <w:tc>
          <w:tcPr>
            <w:tcW w:w="1870" w:type="dxa"/>
            <w:vAlign w:val="center"/>
          </w:tcPr>
          <w:p w14:paraId="7AF8F9DC" w14:textId="77777777" w:rsidR="00AF1AFF" w:rsidRDefault="00AF1AFF" w:rsidP="000C2FB1">
            <w:pPr>
              <w:jc w:val="center"/>
              <w:rPr>
                <w:sz w:val="18"/>
                <w:szCs w:val="18"/>
              </w:rPr>
            </w:pPr>
            <w:r>
              <w:rPr>
                <w:sz w:val="18"/>
                <w:szCs w:val="18"/>
              </w:rPr>
              <w:t>18.97</w:t>
            </w:r>
          </w:p>
        </w:tc>
      </w:tr>
      <w:tr w:rsidR="00AF1AFF" w14:paraId="4660EAB3" w14:textId="77777777" w:rsidTr="000C2FB1">
        <w:tc>
          <w:tcPr>
            <w:tcW w:w="2785" w:type="dxa"/>
            <w:vAlign w:val="center"/>
          </w:tcPr>
          <w:p w14:paraId="6F1F363D" w14:textId="77777777" w:rsidR="00AF1AFF" w:rsidRDefault="00AF1AFF" w:rsidP="000C2FB1">
            <w:pPr>
              <w:jc w:val="right"/>
              <w:rPr>
                <w:sz w:val="18"/>
              </w:rPr>
            </w:pPr>
            <w:r>
              <w:rPr>
                <w:sz w:val="18"/>
              </w:rPr>
              <w:t>5</w:t>
            </w:r>
            <w:r w:rsidRPr="000F1F8B">
              <w:rPr>
                <w:sz w:val="18"/>
                <w:vertAlign w:val="superscript"/>
              </w:rPr>
              <w:t>th</w:t>
            </w:r>
            <w:r>
              <w:rPr>
                <w:sz w:val="18"/>
              </w:rPr>
              <w:t xml:space="preserve"> Grade Science</w:t>
            </w:r>
          </w:p>
        </w:tc>
        <w:tc>
          <w:tcPr>
            <w:tcW w:w="955" w:type="dxa"/>
            <w:vAlign w:val="center"/>
          </w:tcPr>
          <w:p w14:paraId="1B70B002" w14:textId="77777777" w:rsidR="00AF1AFF" w:rsidRDefault="00AF1AFF" w:rsidP="000C2FB1">
            <w:pPr>
              <w:jc w:val="center"/>
              <w:rPr>
                <w:sz w:val="18"/>
                <w:szCs w:val="18"/>
              </w:rPr>
            </w:pPr>
            <w:r>
              <w:rPr>
                <w:sz w:val="18"/>
                <w:szCs w:val="18"/>
              </w:rPr>
              <w:t>59</w:t>
            </w:r>
          </w:p>
        </w:tc>
        <w:tc>
          <w:tcPr>
            <w:tcW w:w="1870" w:type="dxa"/>
            <w:vAlign w:val="center"/>
          </w:tcPr>
          <w:p w14:paraId="4D1CFB4B" w14:textId="77777777" w:rsidR="00AF1AFF" w:rsidRDefault="00AF1AFF" w:rsidP="000C2FB1">
            <w:pPr>
              <w:jc w:val="center"/>
              <w:rPr>
                <w:sz w:val="18"/>
                <w:szCs w:val="18"/>
              </w:rPr>
            </w:pPr>
            <w:r>
              <w:rPr>
                <w:sz w:val="18"/>
                <w:szCs w:val="18"/>
              </w:rPr>
              <w:t>240.69</w:t>
            </w:r>
          </w:p>
        </w:tc>
        <w:tc>
          <w:tcPr>
            <w:tcW w:w="1870" w:type="dxa"/>
            <w:vAlign w:val="center"/>
          </w:tcPr>
          <w:p w14:paraId="6BE1396B" w14:textId="77777777" w:rsidR="00AF1AFF" w:rsidRDefault="00AF1AFF" w:rsidP="000C2FB1">
            <w:pPr>
              <w:jc w:val="center"/>
              <w:rPr>
                <w:sz w:val="18"/>
                <w:szCs w:val="18"/>
              </w:rPr>
            </w:pPr>
            <w:r>
              <w:rPr>
                <w:sz w:val="18"/>
                <w:szCs w:val="18"/>
              </w:rPr>
              <w:t>88.14</w:t>
            </w:r>
          </w:p>
        </w:tc>
        <w:tc>
          <w:tcPr>
            <w:tcW w:w="1870" w:type="dxa"/>
            <w:vAlign w:val="center"/>
          </w:tcPr>
          <w:p w14:paraId="3A64C185" w14:textId="77777777" w:rsidR="00AF1AFF" w:rsidRDefault="00AF1AFF" w:rsidP="000C2FB1">
            <w:pPr>
              <w:jc w:val="center"/>
              <w:rPr>
                <w:sz w:val="18"/>
                <w:szCs w:val="18"/>
              </w:rPr>
            </w:pPr>
            <w:r>
              <w:rPr>
                <w:sz w:val="18"/>
                <w:szCs w:val="18"/>
              </w:rPr>
              <w:t>11.86</w:t>
            </w:r>
          </w:p>
        </w:tc>
      </w:tr>
      <w:tr w:rsidR="00AF1AFF" w14:paraId="42499D30" w14:textId="77777777" w:rsidTr="000C2FB1">
        <w:tc>
          <w:tcPr>
            <w:tcW w:w="9350" w:type="dxa"/>
            <w:gridSpan w:val="5"/>
            <w:vAlign w:val="center"/>
          </w:tcPr>
          <w:p w14:paraId="0F18B7A3" w14:textId="77777777" w:rsidR="00AF1AFF" w:rsidRPr="00A80F8F" w:rsidRDefault="00AF1AFF" w:rsidP="000C2FB1">
            <w:pPr>
              <w:jc w:val="center"/>
              <w:rPr>
                <w:i/>
                <w:sz w:val="18"/>
                <w:szCs w:val="18"/>
              </w:rPr>
            </w:pPr>
            <w:r>
              <w:rPr>
                <w:i/>
                <w:sz w:val="18"/>
                <w:szCs w:val="18"/>
              </w:rPr>
              <w:t>All Other Rockingham County Students</w:t>
            </w:r>
          </w:p>
        </w:tc>
      </w:tr>
      <w:tr w:rsidR="00AF1AFF" w14:paraId="00170FA0" w14:textId="77777777" w:rsidTr="000C2FB1">
        <w:tc>
          <w:tcPr>
            <w:tcW w:w="2785" w:type="dxa"/>
            <w:vAlign w:val="center"/>
          </w:tcPr>
          <w:p w14:paraId="1D202463" w14:textId="77777777" w:rsidR="00AF1AFF" w:rsidRPr="00A80F8F" w:rsidRDefault="00AF1AFF" w:rsidP="000C2FB1">
            <w:pPr>
              <w:jc w:val="right"/>
              <w:rPr>
                <w:sz w:val="18"/>
              </w:rPr>
            </w:pPr>
            <w:r>
              <w:rPr>
                <w:sz w:val="18"/>
              </w:rPr>
              <w:t xml:space="preserve"> 3</w:t>
            </w:r>
            <w:r w:rsidRPr="00A80F8F">
              <w:rPr>
                <w:sz w:val="18"/>
                <w:vertAlign w:val="superscript"/>
              </w:rPr>
              <w:t>rd</w:t>
            </w:r>
            <w:r>
              <w:rPr>
                <w:sz w:val="18"/>
              </w:rPr>
              <w:t xml:space="preserve"> Grade Reading</w:t>
            </w:r>
          </w:p>
        </w:tc>
        <w:tc>
          <w:tcPr>
            <w:tcW w:w="955" w:type="dxa"/>
            <w:vAlign w:val="center"/>
          </w:tcPr>
          <w:p w14:paraId="7520BDA8" w14:textId="77777777" w:rsidR="00AF1AFF" w:rsidRPr="00A80F8F" w:rsidRDefault="00AF1AFF" w:rsidP="000C2FB1">
            <w:pPr>
              <w:jc w:val="center"/>
              <w:rPr>
                <w:sz w:val="18"/>
                <w:szCs w:val="18"/>
              </w:rPr>
            </w:pPr>
            <w:r>
              <w:rPr>
                <w:sz w:val="18"/>
                <w:szCs w:val="18"/>
              </w:rPr>
              <w:t>866</w:t>
            </w:r>
          </w:p>
        </w:tc>
        <w:tc>
          <w:tcPr>
            <w:tcW w:w="1870" w:type="dxa"/>
            <w:vAlign w:val="center"/>
          </w:tcPr>
          <w:p w14:paraId="0418D21E" w14:textId="77777777" w:rsidR="00AF1AFF" w:rsidRPr="00A80F8F" w:rsidRDefault="00AF1AFF" w:rsidP="000C2FB1">
            <w:pPr>
              <w:jc w:val="center"/>
              <w:rPr>
                <w:sz w:val="18"/>
                <w:szCs w:val="18"/>
              </w:rPr>
            </w:pPr>
            <w:r>
              <w:rPr>
                <w:sz w:val="18"/>
                <w:szCs w:val="18"/>
              </w:rPr>
              <w:t>437.30</w:t>
            </w:r>
          </w:p>
        </w:tc>
        <w:tc>
          <w:tcPr>
            <w:tcW w:w="1870" w:type="dxa"/>
            <w:vAlign w:val="center"/>
          </w:tcPr>
          <w:p w14:paraId="47417495" w14:textId="77777777" w:rsidR="00AF1AFF" w:rsidRPr="00A80F8F" w:rsidRDefault="00AF1AFF" w:rsidP="000C2FB1">
            <w:pPr>
              <w:jc w:val="center"/>
              <w:rPr>
                <w:sz w:val="18"/>
                <w:szCs w:val="18"/>
              </w:rPr>
            </w:pPr>
            <w:r>
              <w:rPr>
                <w:sz w:val="18"/>
                <w:szCs w:val="18"/>
              </w:rPr>
              <w:t>49.54</w:t>
            </w:r>
          </w:p>
        </w:tc>
        <w:tc>
          <w:tcPr>
            <w:tcW w:w="1870" w:type="dxa"/>
            <w:vAlign w:val="center"/>
          </w:tcPr>
          <w:p w14:paraId="35224DFF" w14:textId="77777777" w:rsidR="00AF1AFF" w:rsidRPr="00A80F8F" w:rsidRDefault="00AF1AFF" w:rsidP="000C2FB1">
            <w:pPr>
              <w:jc w:val="center"/>
              <w:rPr>
                <w:sz w:val="18"/>
                <w:szCs w:val="18"/>
              </w:rPr>
            </w:pPr>
            <w:r>
              <w:rPr>
                <w:sz w:val="18"/>
                <w:szCs w:val="18"/>
              </w:rPr>
              <w:t>50.46</w:t>
            </w:r>
          </w:p>
        </w:tc>
      </w:tr>
      <w:tr w:rsidR="00AF1AFF" w14:paraId="5455E01F" w14:textId="77777777" w:rsidTr="000C2FB1">
        <w:tc>
          <w:tcPr>
            <w:tcW w:w="2785" w:type="dxa"/>
            <w:vAlign w:val="center"/>
          </w:tcPr>
          <w:p w14:paraId="0FBF1464" w14:textId="77777777" w:rsidR="00AF1AFF" w:rsidRPr="00A80F8F" w:rsidRDefault="00AF1AFF" w:rsidP="000C2FB1">
            <w:pPr>
              <w:jc w:val="right"/>
              <w:rPr>
                <w:sz w:val="18"/>
              </w:rPr>
            </w:pPr>
            <w:r>
              <w:rPr>
                <w:sz w:val="18"/>
              </w:rPr>
              <w:t>4</w:t>
            </w:r>
            <w:r w:rsidRPr="00A80F8F">
              <w:rPr>
                <w:sz w:val="18"/>
                <w:vertAlign w:val="superscript"/>
              </w:rPr>
              <w:t>th</w:t>
            </w:r>
            <w:r>
              <w:rPr>
                <w:sz w:val="18"/>
              </w:rPr>
              <w:t xml:space="preserve"> Grade Reading</w:t>
            </w:r>
          </w:p>
        </w:tc>
        <w:tc>
          <w:tcPr>
            <w:tcW w:w="955" w:type="dxa"/>
            <w:vAlign w:val="center"/>
          </w:tcPr>
          <w:p w14:paraId="307DFAB3" w14:textId="77777777" w:rsidR="00AF1AFF" w:rsidRPr="00A80F8F" w:rsidRDefault="00AF1AFF" w:rsidP="000C2FB1">
            <w:pPr>
              <w:jc w:val="center"/>
              <w:rPr>
                <w:sz w:val="18"/>
                <w:szCs w:val="18"/>
              </w:rPr>
            </w:pPr>
            <w:r>
              <w:rPr>
                <w:sz w:val="18"/>
                <w:szCs w:val="18"/>
              </w:rPr>
              <w:t>905</w:t>
            </w:r>
          </w:p>
        </w:tc>
        <w:tc>
          <w:tcPr>
            <w:tcW w:w="1870" w:type="dxa"/>
            <w:vAlign w:val="center"/>
          </w:tcPr>
          <w:p w14:paraId="6C077943" w14:textId="77777777" w:rsidR="00AF1AFF" w:rsidRPr="00A80F8F" w:rsidRDefault="00AF1AFF" w:rsidP="000C2FB1">
            <w:pPr>
              <w:jc w:val="center"/>
              <w:rPr>
                <w:sz w:val="18"/>
                <w:szCs w:val="18"/>
              </w:rPr>
            </w:pPr>
            <w:r>
              <w:rPr>
                <w:sz w:val="18"/>
                <w:szCs w:val="18"/>
              </w:rPr>
              <w:t>443.56</w:t>
            </w:r>
          </w:p>
        </w:tc>
        <w:tc>
          <w:tcPr>
            <w:tcW w:w="1870" w:type="dxa"/>
            <w:vAlign w:val="center"/>
          </w:tcPr>
          <w:p w14:paraId="75C3FDF7" w14:textId="77777777" w:rsidR="00AF1AFF" w:rsidRPr="00A80F8F" w:rsidRDefault="00AF1AFF" w:rsidP="000C2FB1">
            <w:pPr>
              <w:jc w:val="center"/>
              <w:rPr>
                <w:sz w:val="18"/>
                <w:szCs w:val="18"/>
              </w:rPr>
            </w:pPr>
            <w:r>
              <w:rPr>
                <w:sz w:val="18"/>
                <w:szCs w:val="18"/>
              </w:rPr>
              <w:t>45.86</w:t>
            </w:r>
          </w:p>
        </w:tc>
        <w:tc>
          <w:tcPr>
            <w:tcW w:w="1870" w:type="dxa"/>
            <w:vAlign w:val="center"/>
          </w:tcPr>
          <w:p w14:paraId="7AF2EC08" w14:textId="77777777" w:rsidR="00AF1AFF" w:rsidRPr="00A80F8F" w:rsidRDefault="00AF1AFF" w:rsidP="000C2FB1">
            <w:pPr>
              <w:jc w:val="center"/>
              <w:rPr>
                <w:sz w:val="18"/>
                <w:szCs w:val="18"/>
              </w:rPr>
            </w:pPr>
            <w:r>
              <w:rPr>
                <w:sz w:val="18"/>
                <w:szCs w:val="18"/>
              </w:rPr>
              <w:t>54.14</w:t>
            </w:r>
          </w:p>
        </w:tc>
      </w:tr>
      <w:tr w:rsidR="00AF1AFF" w14:paraId="6AD2E679" w14:textId="77777777" w:rsidTr="000C2FB1">
        <w:tc>
          <w:tcPr>
            <w:tcW w:w="2785" w:type="dxa"/>
            <w:vAlign w:val="center"/>
          </w:tcPr>
          <w:p w14:paraId="7D83F0C8" w14:textId="77777777" w:rsidR="00AF1AFF" w:rsidRDefault="00AF1AFF" w:rsidP="000C2FB1">
            <w:pPr>
              <w:jc w:val="right"/>
              <w:rPr>
                <w:sz w:val="18"/>
              </w:rPr>
            </w:pPr>
            <w:r>
              <w:rPr>
                <w:sz w:val="18"/>
              </w:rPr>
              <w:t>5</w:t>
            </w:r>
            <w:r w:rsidRPr="00703895">
              <w:rPr>
                <w:sz w:val="18"/>
                <w:vertAlign w:val="superscript"/>
              </w:rPr>
              <w:t>th</w:t>
            </w:r>
            <w:r>
              <w:rPr>
                <w:sz w:val="18"/>
              </w:rPr>
              <w:t xml:space="preserve"> Grade Reading</w:t>
            </w:r>
          </w:p>
        </w:tc>
        <w:tc>
          <w:tcPr>
            <w:tcW w:w="955" w:type="dxa"/>
            <w:vAlign w:val="center"/>
          </w:tcPr>
          <w:p w14:paraId="49B91B99" w14:textId="77777777" w:rsidR="00AF1AFF" w:rsidRPr="00A80F8F" w:rsidRDefault="00AF1AFF" w:rsidP="000C2FB1">
            <w:pPr>
              <w:jc w:val="center"/>
              <w:rPr>
                <w:sz w:val="18"/>
                <w:szCs w:val="18"/>
              </w:rPr>
            </w:pPr>
            <w:r>
              <w:rPr>
                <w:sz w:val="18"/>
                <w:szCs w:val="18"/>
              </w:rPr>
              <w:t>925</w:t>
            </w:r>
          </w:p>
        </w:tc>
        <w:tc>
          <w:tcPr>
            <w:tcW w:w="1870" w:type="dxa"/>
            <w:vAlign w:val="center"/>
          </w:tcPr>
          <w:p w14:paraId="5D6488A2" w14:textId="77777777" w:rsidR="00AF1AFF" w:rsidRPr="00A80F8F" w:rsidRDefault="00AF1AFF" w:rsidP="000C2FB1">
            <w:pPr>
              <w:jc w:val="center"/>
              <w:rPr>
                <w:sz w:val="18"/>
                <w:szCs w:val="18"/>
              </w:rPr>
            </w:pPr>
            <w:r>
              <w:rPr>
                <w:sz w:val="18"/>
                <w:szCs w:val="18"/>
              </w:rPr>
              <w:t>448.36</w:t>
            </w:r>
          </w:p>
        </w:tc>
        <w:tc>
          <w:tcPr>
            <w:tcW w:w="1870" w:type="dxa"/>
            <w:vAlign w:val="center"/>
          </w:tcPr>
          <w:p w14:paraId="74DA96B3" w14:textId="77777777" w:rsidR="00AF1AFF" w:rsidRPr="00A80F8F" w:rsidRDefault="00AF1AFF" w:rsidP="000C2FB1">
            <w:pPr>
              <w:jc w:val="center"/>
              <w:rPr>
                <w:sz w:val="18"/>
                <w:szCs w:val="18"/>
              </w:rPr>
            </w:pPr>
            <w:r>
              <w:rPr>
                <w:sz w:val="18"/>
                <w:szCs w:val="18"/>
              </w:rPr>
              <w:t>45.62</w:t>
            </w:r>
          </w:p>
        </w:tc>
        <w:tc>
          <w:tcPr>
            <w:tcW w:w="1870" w:type="dxa"/>
            <w:vAlign w:val="center"/>
          </w:tcPr>
          <w:p w14:paraId="00D447CB" w14:textId="77777777" w:rsidR="00AF1AFF" w:rsidRPr="00A80F8F" w:rsidRDefault="00AF1AFF" w:rsidP="000C2FB1">
            <w:pPr>
              <w:jc w:val="center"/>
              <w:rPr>
                <w:sz w:val="18"/>
                <w:szCs w:val="18"/>
              </w:rPr>
            </w:pPr>
            <w:r>
              <w:rPr>
                <w:sz w:val="18"/>
                <w:szCs w:val="18"/>
              </w:rPr>
              <w:t>54.38</w:t>
            </w:r>
          </w:p>
        </w:tc>
      </w:tr>
      <w:tr w:rsidR="00AF1AFF" w14:paraId="070B3F11" w14:textId="77777777" w:rsidTr="000C2FB1">
        <w:tc>
          <w:tcPr>
            <w:tcW w:w="2785" w:type="dxa"/>
            <w:vAlign w:val="center"/>
          </w:tcPr>
          <w:p w14:paraId="37E0A4D9" w14:textId="77777777" w:rsidR="00AF1AFF" w:rsidRPr="00A80F8F" w:rsidRDefault="00AF1AFF" w:rsidP="000C2FB1">
            <w:pPr>
              <w:jc w:val="right"/>
              <w:rPr>
                <w:sz w:val="18"/>
              </w:rPr>
            </w:pPr>
            <w:r>
              <w:rPr>
                <w:sz w:val="18"/>
              </w:rPr>
              <w:t>3</w:t>
            </w:r>
            <w:r w:rsidRPr="00A80F8F">
              <w:rPr>
                <w:sz w:val="18"/>
                <w:vertAlign w:val="superscript"/>
              </w:rPr>
              <w:t>rd</w:t>
            </w:r>
            <w:r>
              <w:rPr>
                <w:sz w:val="18"/>
              </w:rPr>
              <w:t xml:space="preserve"> Grade Math</w:t>
            </w:r>
          </w:p>
        </w:tc>
        <w:tc>
          <w:tcPr>
            <w:tcW w:w="955" w:type="dxa"/>
            <w:vAlign w:val="center"/>
          </w:tcPr>
          <w:p w14:paraId="4020E5A2" w14:textId="77777777" w:rsidR="00AF1AFF" w:rsidRPr="00A80F8F" w:rsidRDefault="00AF1AFF" w:rsidP="000C2FB1">
            <w:pPr>
              <w:jc w:val="center"/>
              <w:rPr>
                <w:sz w:val="18"/>
                <w:szCs w:val="18"/>
              </w:rPr>
            </w:pPr>
            <w:r>
              <w:rPr>
                <w:sz w:val="18"/>
                <w:szCs w:val="18"/>
              </w:rPr>
              <w:t>865</w:t>
            </w:r>
          </w:p>
        </w:tc>
        <w:tc>
          <w:tcPr>
            <w:tcW w:w="1870" w:type="dxa"/>
            <w:vAlign w:val="center"/>
          </w:tcPr>
          <w:p w14:paraId="491658A9" w14:textId="77777777" w:rsidR="00AF1AFF" w:rsidRPr="00A80F8F" w:rsidRDefault="00AF1AFF" w:rsidP="000C2FB1">
            <w:pPr>
              <w:jc w:val="center"/>
              <w:rPr>
                <w:sz w:val="18"/>
                <w:szCs w:val="18"/>
              </w:rPr>
            </w:pPr>
            <w:r>
              <w:rPr>
                <w:sz w:val="18"/>
                <w:szCs w:val="18"/>
              </w:rPr>
              <w:t>547.71</w:t>
            </w:r>
          </w:p>
        </w:tc>
        <w:tc>
          <w:tcPr>
            <w:tcW w:w="1870" w:type="dxa"/>
            <w:vAlign w:val="center"/>
          </w:tcPr>
          <w:p w14:paraId="795418F1" w14:textId="77777777" w:rsidR="00AF1AFF" w:rsidRPr="00A80F8F" w:rsidRDefault="00AF1AFF" w:rsidP="000C2FB1">
            <w:pPr>
              <w:jc w:val="center"/>
              <w:rPr>
                <w:sz w:val="18"/>
                <w:szCs w:val="18"/>
              </w:rPr>
            </w:pPr>
            <w:r>
              <w:rPr>
                <w:sz w:val="18"/>
                <w:szCs w:val="18"/>
              </w:rPr>
              <w:t>36.42</w:t>
            </w:r>
          </w:p>
        </w:tc>
        <w:tc>
          <w:tcPr>
            <w:tcW w:w="1870" w:type="dxa"/>
            <w:vAlign w:val="center"/>
          </w:tcPr>
          <w:p w14:paraId="2A4DD5AE" w14:textId="77777777" w:rsidR="00AF1AFF" w:rsidRPr="00A80F8F" w:rsidRDefault="00AF1AFF" w:rsidP="000C2FB1">
            <w:pPr>
              <w:jc w:val="center"/>
              <w:rPr>
                <w:sz w:val="18"/>
                <w:szCs w:val="18"/>
              </w:rPr>
            </w:pPr>
            <w:r>
              <w:rPr>
                <w:sz w:val="18"/>
                <w:szCs w:val="18"/>
              </w:rPr>
              <w:t>63.58</w:t>
            </w:r>
          </w:p>
        </w:tc>
      </w:tr>
      <w:tr w:rsidR="00AF1AFF" w14:paraId="4BE318A0" w14:textId="77777777" w:rsidTr="000C2FB1">
        <w:tc>
          <w:tcPr>
            <w:tcW w:w="2785" w:type="dxa"/>
            <w:vAlign w:val="center"/>
          </w:tcPr>
          <w:p w14:paraId="557F3442" w14:textId="77777777" w:rsidR="00AF1AFF" w:rsidRPr="00A80F8F" w:rsidRDefault="00AF1AFF" w:rsidP="000C2FB1">
            <w:pPr>
              <w:jc w:val="right"/>
              <w:rPr>
                <w:sz w:val="18"/>
              </w:rPr>
            </w:pPr>
            <w:r>
              <w:rPr>
                <w:sz w:val="18"/>
              </w:rPr>
              <w:t>4</w:t>
            </w:r>
            <w:r w:rsidRPr="00A80F8F">
              <w:rPr>
                <w:sz w:val="18"/>
                <w:vertAlign w:val="superscript"/>
              </w:rPr>
              <w:t>th</w:t>
            </w:r>
            <w:r>
              <w:rPr>
                <w:sz w:val="18"/>
              </w:rPr>
              <w:t xml:space="preserve"> Grade Math</w:t>
            </w:r>
          </w:p>
        </w:tc>
        <w:tc>
          <w:tcPr>
            <w:tcW w:w="955" w:type="dxa"/>
            <w:vAlign w:val="center"/>
          </w:tcPr>
          <w:p w14:paraId="0C04B3F4" w14:textId="77777777" w:rsidR="00AF1AFF" w:rsidRPr="00A80F8F" w:rsidRDefault="00AF1AFF" w:rsidP="000C2FB1">
            <w:pPr>
              <w:jc w:val="center"/>
              <w:rPr>
                <w:sz w:val="18"/>
                <w:szCs w:val="18"/>
              </w:rPr>
            </w:pPr>
            <w:r>
              <w:rPr>
                <w:sz w:val="18"/>
                <w:szCs w:val="18"/>
              </w:rPr>
              <w:t>905</w:t>
            </w:r>
          </w:p>
        </w:tc>
        <w:tc>
          <w:tcPr>
            <w:tcW w:w="1870" w:type="dxa"/>
            <w:vAlign w:val="center"/>
          </w:tcPr>
          <w:p w14:paraId="2B78414D" w14:textId="77777777" w:rsidR="00AF1AFF" w:rsidRPr="00A80F8F" w:rsidRDefault="00AF1AFF" w:rsidP="000C2FB1">
            <w:pPr>
              <w:jc w:val="center"/>
              <w:rPr>
                <w:sz w:val="18"/>
                <w:szCs w:val="18"/>
              </w:rPr>
            </w:pPr>
            <w:r>
              <w:rPr>
                <w:sz w:val="18"/>
                <w:szCs w:val="18"/>
              </w:rPr>
              <w:t>548.15</w:t>
            </w:r>
          </w:p>
        </w:tc>
        <w:tc>
          <w:tcPr>
            <w:tcW w:w="1870" w:type="dxa"/>
            <w:vAlign w:val="center"/>
          </w:tcPr>
          <w:p w14:paraId="3F6E0083" w14:textId="77777777" w:rsidR="00AF1AFF" w:rsidRPr="00A80F8F" w:rsidRDefault="00AF1AFF" w:rsidP="000C2FB1">
            <w:pPr>
              <w:jc w:val="center"/>
              <w:rPr>
                <w:sz w:val="18"/>
                <w:szCs w:val="18"/>
              </w:rPr>
            </w:pPr>
            <w:r>
              <w:rPr>
                <w:sz w:val="18"/>
                <w:szCs w:val="18"/>
              </w:rPr>
              <w:t>41.88</w:t>
            </w:r>
          </w:p>
        </w:tc>
        <w:tc>
          <w:tcPr>
            <w:tcW w:w="1870" w:type="dxa"/>
            <w:vAlign w:val="center"/>
          </w:tcPr>
          <w:p w14:paraId="7A167DC0" w14:textId="77777777" w:rsidR="00AF1AFF" w:rsidRPr="00A80F8F" w:rsidRDefault="00AF1AFF" w:rsidP="000C2FB1">
            <w:pPr>
              <w:jc w:val="center"/>
              <w:rPr>
                <w:sz w:val="18"/>
                <w:szCs w:val="18"/>
              </w:rPr>
            </w:pPr>
            <w:r>
              <w:rPr>
                <w:sz w:val="18"/>
                <w:szCs w:val="18"/>
              </w:rPr>
              <w:t>58.12</w:t>
            </w:r>
          </w:p>
        </w:tc>
      </w:tr>
      <w:tr w:rsidR="00AF1AFF" w14:paraId="022B72F5" w14:textId="77777777" w:rsidTr="000C2FB1">
        <w:tc>
          <w:tcPr>
            <w:tcW w:w="2785" w:type="dxa"/>
            <w:vAlign w:val="center"/>
          </w:tcPr>
          <w:p w14:paraId="62347EED" w14:textId="77777777" w:rsidR="00AF1AFF" w:rsidRDefault="00AF1AFF" w:rsidP="000C2FB1">
            <w:pPr>
              <w:jc w:val="right"/>
              <w:rPr>
                <w:sz w:val="18"/>
              </w:rPr>
            </w:pPr>
            <w:r>
              <w:rPr>
                <w:sz w:val="18"/>
              </w:rPr>
              <w:t>5</w:t>
            </w:r>
            <w:r w:rsidRPr="00703895">
              <w:rPr>
                <w:sz w:val="18"/>
                <w:vertAlign w:val="superscript"/>
              </w:rPr>
              <w:t>th</w:t>
            </w:r>
            <w:r>
              <w:rPr>
                <w:sz w:val="18"/>
              </w:rPr>
              <w:t xml:space="preserve"> Grade Math</w:t>
            </w:r>
          </w:p>
        </w:tc>
        <w:tc>
          <w:tcPr>
            <w:tcW w:w="955" w:type="dxa"/>
            <w:vAlign w:val="center"/>
          </w:tcPr>
          <w:p w14:paraId="12F62AE8" w14:textId="77777777" w:rsidR="00AF1AFF" w:rsidRPr="00A80F8F" w:rsidRDefault="00AF1AFF" w:rsidP="000C2FB1">
            <w:pPr>
              <w:jc w:val="center"/>
              <w:rPr>
                <w:sz w:val="18"/>
                <w:szCs w:val="18"/>
              </w:rPr>
            </w:pPr>
            <w:r>
              <w:rPr>
                <w:sz w:val="18"/>
                <w:szCs w:val="18"/>
              </w:rPr>
              <w:t>924</w:t>
            </w:r>
          </w:p>
        </w:tc>
        <w:tc>
          <w:tcPr>
            <w:tcW w:w="1870" w:type="dxa"/>
            <w:vAlign w:val="center"/>
          </w:tcPr>
          <w:p w14:paraId="08D8D3D6" w14:textId="77777777" w:rsidR="00AF1AFF" w:rsidRPr="00A80F8F" w:rsidRDefault="00AF1AFF" w:rsidP="000C2FB1">
            <w:pPr>
              <w:jc w:val="center"/>
              <w:rPr>
                <w:sz w:val="18"/>
                <w:szCs w:val="18"/>
              </w:rPr>
            </w:pPr>
            <w:r>
              <w:rPr>
                <w:sz w:val="18"/>
                <w:szCs w:val="18"/>
              </w:rPr>
              <w:t>548.10</w:t>
            </w:r>
          </w:p>
        </w:tc>
        <w:tc>
          <w:tcPr>
            <w:tcW w:w="1870" w:type="dxa"/>
            <w:vAlign w:val="center"/>
          </w:tcPr>
          <w:p w14:paraId="01436C26" w14:textId="77777777" w:rsidR="00AF1AFF" w:rsidRPr="00A80F8F" w:rsidRDefault="00AF1AFF" w:rsidP="000C2FB1">
            <w:pPr>
              <w:jc w:val="center"/>
              <w:rPr>
                <w:sz w:val="18"/>
                <w:szCs w:val="18"/>
              </w:rPr>
            </w:pPr>
            <w:r>
              <w:rPr>
                <w:sz w:val="18"/>
                <w:szCs w:val="18"/>
              </w:rPr>
              <w:t>37.12</w:t>
            </w:r>
          </w:p>
        </w:tc>
        <w:tc>
          <w:tcPr>
            <w:tcW w:w="1870" w:type="dxa"/>
            <w:vAlign w:val="center"/>
          </w:tcPr>
          <w:p w14:paraId="12989226" w14:textId="77777777" w:rsidR="00AF1AFF" w:rsidRPr="00A80F8F" w:rsidRDefault="00AF1AFF" w:rsidP="000C2FB1">
            <w:pPr>
              <w:jc w:val="center"/>
              <w:rPr>
                <w:sz w:val="18"/>
                <w:szCs w:val="18"/>
              </w:rPr>
            </w:pPr>
            <w:r>
              <w:rPr>
                <w:sz w:val="18"/>
                <w:szCs w:val="18"/>
              </w:rPr>
              <w:t>62.88</w:t>
            </w:r>
          </w:p>
        </w:tc>
      </w:tr>
      <w:tr w:rsidR="00AF1AFF" w14:paraId="080B5223" w14:textId="77777777" w:rsidTr="000C2FB1">
        <w:tc>
          <w:tcPr>
            <w:tcW w:w="2785" w:type="dxa"/>
            <w:vAlign w:val="center"/>
          </w:tcPr>
          <w:p w14:paraId="57E5D3FE" w14:textId="77777777" w:rsidR="00AF1AFF" w:rsidRDefault="00AF1AFF" w:rsidP="000C2FB1">
            <w:pPr>
              <w:jc w:val="right"/>
              <w:rPr>
                <w:sz w:val="18"/>
              </w:rPr>
            </w:pPr>
            <w:r>
              <w:rPr>
                <w:sz w:val="18"/>
              </w:rPr>
              <w:t>5</w:t>
            </w:r>
            <w:r w:rsidRPr="00703895">
              <w:rPr>
                <w:sz w:val="18"/>
                <w:vertAlign w:val="superscript"/>
              </w:rPr>
              <w:t>th</w:t>
            </w:r>
            <w:r>
              <w:rPr>
                <w:sz w:val="18"/>
              </w:rPr>
              <w:t xml:space="preserve"> Grade Science</w:t>
            </w:r>
          </w:p>
        </w:tc>
        <w:tc>
          <w:tcPr>
            <w:tcW w:w="955" w:type="dxa"/>
            <w:vAlign w:val="center"/>
          </w:tcPr>
          <w:p w14:paraId="27029533" w14:textId="77777777" w:rsidR="00AF1AFF" w:rsidRPr="00A80F8F" w:rsidRDefault="00AF1AFF" w:rsidP="000C2FB1">
            <w:pPr>
              <w:jc w:val="center"/>
              <w:rPr>
                <w:sz w:val="18"/>
                <w:szCs w:val="18"/>
              </w:rPr>
            </w:pPr>
            <w:r>
              <w:rPr>
                <w:sz w:val="18"/>
                <w:szCs w:val="18"/>
              </w:rPr>
              <w:t>924</w:t>
            </w:r>
          </w:p>
        </w:tc>
        <w:tc>
          <w:tcPr>
            <w:tcW w:w="1870" w:type="dxa"/>
            <w:vAlign w:val="center"/>
          </w:tcPr>
          <w:p w14:paraId="29229720" w14:textId="77777777" w:rsidR="00AF1AFF" w:rsidRPr="00A80F8F" w:rsidRDefault="00AF1AFF" w:rsidP="000C2FB1">
            <w:pPr>
              <w:jc w:val="center"/>
              <w:rPr>
                <w:sz w:val="18"/>
                <w:szCs w:val="18"/>
              </w:rPr>
            </w:pPr>
            <w:r>
              <w:rPr>
                <w:sz w:val="18"/>
                <w:szCs w:val="18"/>
              </w:rPr>
              <w:t>253.24</w:t>
            </w:r>
          </w:p>
        </w:tc>
        <w:tc>
          <w:tcPr>
            <w:tcW w:w="1870" w:type="dxa"/>
            <w:vAlign w:val="center"/>
          </w:tcPr>
          <w:p w14:paraId="2F0C790C" w14:textId="77777777" w:rsidR="00AF1AFF" w:rsidRPr="00A80F8F" w:rsidRDefault="00AF1AFF" w:rsidP="000C2FB1">
            <w:pPr>
              <w:jc w:val="center"/>
              <w:rPr>
                <w:sz w:val="18"/>
                <w:szCs w:val="18"/>
              </w:rPr>
            </w:pPr>
            <w:r>
              <w:rPr>
                <w:sz w:val="18"/>
                <w:szCs w:val="18"/>
              </w:rPr>
              <w:t>25.87</w:t>
            </w:r>
          </w:p>
        </w:tc>
        <w:tc>
          <w:tcPr>
            <w:tcW w:w="1870" w:type="dxa"/>
            <w:vAlign w:val="center"/>
          </w:tcPr>
          <w:p w14:paraId="0C8C93B6" w14:textId="77777777" w:rsidR="00AF1AFF" w:rsidRPr="00A80F8F" w:rsidRDefault="00AF1AFF" w:rsidP="000C2FB1">
            <w:pPr>
              <w:jc w:val="center"/>
              <w:rPr>
                <w:sz w:val="18"/>
                <w:szCs w:val="18"/>
              </w:rPr>
            </w:pPr>
            <w:r>
              <w:rPr>
                <w:sz w:val="18"/>
                <w:szCs w:val="18"/>
              </w:rPr>
              <w:t>74.13</w:t>
            </w:r>
          </w:p>
        </w:tc>
      </w:tr>
    </w:tbl>
    <w:p w14:paraId="355AB1DA" w14:textId="77777777" w:rsidR="00AF1AFF" w:rsidRDefault="00AF1AFF" w:rsidP="00AF1AFF">
      <w:pPr>
        <w:spacing w:after="0" w:line="240" w:lineRule="auto"/>
        <w:rPr>
          <w:i/>
          <w:sz w:val="16"/>
        </w:rPr>
      </w:pPr>
      <w:r>
        <w:rPr>
          <w:i/>
          <w:sz w:val="16"/>
        </w:rPr>
        <w:t>Note:  For the 2018-19 academic year, this table displays descriptive student achievement data for the Moss Street Partnership School and for all other Rockingham County students in the same grades.</w:t>
      </w:r>
    </w:p>
    <w:p w14:paraId="7E6DDCC4" w14:textId="77777777" w:rsidR="00AF1AFF" w:rsidRDefault="00AF1AFF" w:rsidP="004A191B">
      <w:pPr>
        <w:spacing w:after="0" w:line="240" w:lineRule="auto"/>
        <w:rPr>
          <w:i/>
        </w:rPr>
      </w:pPr>
    </w:p>
    <w:p w14:paraId="7CDCA22D" w14:textId="1F25CCFF" w:rsidR="004A191B" w:rsidRDefault="004A191B" w:rsidP="004A191B">
      <w:pPr>
        <w:spacing w:after="0" w:line="240" w:lineRule="auto"/>
        <w:rPr>
          <w:i/>
        </w:rPr>
      </w:pPr>
    </w:p>
    <w:p w14:paraId="0836218A" w14:textId="1FB168E0" w:rsidR="00290EE2" w:rsidRDefault="00290EE2" w:rsidP="004A191B">
      <w:pPr>
        <w:spacing w:after="0" w:line="240" w:lineRule="auto"/>
        <w:rPr>
          <w:i/>
        </w:rPr>
      </w:pPr>
    </w:p>
    <w:p w14:paraId="741126A0" w14:textId="5103AC61" w:rsidR="00290EE2" w:rsidRDefault="00290EE2" w:rsidP="004A191B">
      <w:pPr>
        <w:spacing w:after="0" w:line="240" w:lineRule="auto"/>
        <w:rPr>
          <w:i/>
        </w:rPr>
      </w:pPr>
    </w:p>
    <w:p w14:paraId="14F8E094" w14:textId="2ACC515A" w:rsidR="00290EE2" w:rsidRDefault="00290EE2" w:rsidP="004A191B">
      <w:pPr>
        <w:spacing w:after="0" w:line="240" w:lineRule="auto"/>
        <w:rPr>
          <w:i/>
        </w:rPr>
      </w:pPr>
    </w:p>
    <w:p w14:paraId="7B59BD63" w14:textId="3CC37B0C" w:rsidR="00290EE2" w:rsidRDefault="00290EE2" w:rsidP="004A191B">
      <w:pPr>
        <w:spacing w:after="0" w:line="240" w:lineRule="auto"/>
        <w:rPr>
          <w:i/>
        </w:rPr>
      </w:pPr>
    </w:p>
    <w:p w14:paraId="32544D68" w14:textId="672A64A6" w:rsidR="00290EE2" w:rsidRDefault="00290EE2" w:rsidP="004A191B">
      <w:pPr>
        <w:spacing w:after="0" w:line="240" w:lineRule="auto"/>
        <w:rPr>
          <w:i/>
        </w:rPr>
      </w:pPr>
    </w:p>
    <w:p w14:paraId="60641449" w14:textId="7A6B2881" w:rsidR="00290EE2" w:rsidRDefault="00290EE2" w:rsidP="004A191B">
      <w:pPr>
        <w:spacing w:after="0" w:line="240" w:lineRule="auto"/>
        <w:rPr>
          <w:i/>
        </w:rPr>
      </w:pPr>
    </w:p>
    <w:p w14:paraId="7BFDE3F5" w14:textId="561F1B06" w:rsidR="00290EE2" w:rsidRDefault="00290EE2" w:rsidP="004A191B">
      <w:pPr>
        <w:spacing w:after="0" w:line="240" w:lineRule="auto"/>
        <w:rPr>
          <w:i/>
        </w:rPr>
      </w:pPr>
    </w:p>
    <w:p w14:paraId="025C9A1D" w14:textId="3590F159" w:rsidR="00290EE2" w:rsidRDefault="00290EE2" w:rsidP="004A191B">
      <w:pPr>
        <w:spacing w:after="0" w:line="240" w:lineRule="auto"/>
        <w:rPr>
          <w:i/>
        </w:rPr>
      </w:pPr>
    </w:p>
    <w:p w14:paraId="1487C0A0" w14:textId="36F563B6" w:rsidR="00290EE2" w:rsidRDefault="00290EE2" w:rsidP="004A191B">
      <w:pPr>
        <w:spacing w:after="0" w:line="240" w:lineRule="auto"/>
        <w:rPr>
          <w:i/>
        </w:rPr>
      </w:pPr>
    </w:p>
    <w:p w14:paraId="7EFF0FAF" w14:textId="1A09B339" w:rsidR="00290EE2" w:rsidRDefault="00290EE2" w:rsidP="004A191B">
      <w:pPr>
        <w:spacing w:after="0" w:line="240" w:lineRule="auto"/>
        <w:rPr>
          <w:i/>
        </w:rPr>
      </w:pPr>
    </w:p>
    <w:p w14:paraId="012D54EC" w14:textId="431F9296" w:rsidR="00290EE2" w:rsidRDefault="00290EE2" w:rsidP="004A191B">
      <w:pPr>
        <w:spacing w:after="0" w:line="240" w:lineRule="auto"/>
        <w:rPr>
          <w:i/>
        </w:rPr>
      </w:pPr>
    </w:p>
    <w:p w14:paraId="2D476ED1" w14:textId="28732391" w:rsidR="00290EE2" w:rsidRDefault="00290EE2" w:rsidP="004A191B">
      <w:pPr>
        <w:spacing w:after="0" w:line="240" w:lineRule="auto"/>
        <w:rPr>
          <w:i/>
        </w:rPr>
      </w:pPr>
    </w:p>
    <w:p w14:paraId="64282AC5" w14:textId="73FDB123" w:rsidR="00290EE2" w:rsidRDefault="00290EE2" w:rsidP="004A191B">
      <w:pPr>
        <w:spacing w:after="0" w:line="240" w:lineRule="auto"/>
        <w:rPr>
          <w:i/>
        </w:rPr>
      </w:pPr>
    </w:p>
    <w:p w14:paraId="6681894B" w14:textId="127CEC93" w:rsidR="00290EE2" w:rsidRDefault="00290EE2" w:rsidP="004A191B">
      <w:pPr>
        <w:spacing w:after="0" w:line="240" w:lineRule="auto"/>
        <w:rPr>
          <w:i/>
        </w:rPr>
      </w:pPr>
    </w:p>
    <w:p w14:paraId="5D8C6D36" w14:textId="6F469817" w:rsidR="00290EE2" w:rsidRDefault="00290EE2" w:rsidP="004A191B">
      <w:pPr>
        <w:spacing w:after="0" w:line="240" w:lineRule="auto"/>
        <w:rPr>
          <w:i/>
        </w:rPr>
      </w:pPr>
    </w:p>
    <w:p w14:paraId="0245A4A4" w14:textId="44C9EBD6" w:rsidR="00290EE2" w:rsidRDefault="00290EE2" w:rsidP="004A191B">
      <w:pPr>
        <w:spacing w:after="0" w:line="240" w:lineRule="auto"/>
        <w:rPr>
          <w:i/>
        </w:rPr>
      </w:pPr>
    </w:p>
    <w:p w14:paraId="11695CCB" w14:textId="12199F61" w:rsidR="00290EE2" w:rsidRDefault="00290EE2" w:rsidP="004A191B">
      <w:pPr>
        <w:spacing w:after="0" w:line="240" w:lineRule="auto"/>
        <w:rPr>
          <w:i/>
        </w:rPr>
      </w:pPr>
    </w:p>
    <w:p w14:paraId="7C041896" w14:textId="44303637" w:rsidR="00290EE2" w:rsidRDefault="00290EE2" w:rsidP="004A191B">
      <w:pPr>
        <w:spacing w:after="0" w:line="240" w:lineRule="auto"/>
        <w:rPr>
          <w:i/>
        </w:rPr>
      </w:pPr>
    </w:p>
    <w:p w14:paraId="089CC269" w14:textId="00DAF53D" w:rsidR="00290EE2" w:rsidRDefault="00290EE2" w:rsidP="004A191B">
      <w:pPr>
        <w:spacing w:after="0" w:line="240" w:lineRule="auto"/>
        <w:rPr>
          <w:i/>
        </w:rPr>
      </w:pPr>
    </w:p>
    <w:p w14:paraId="6AFED663" w14:textId="4D737AC4" w:rsidR="00290EE2" w:rsidRDefault="00290EE2" w:rsidP="004A191B">
      <w:pPr>
        <w:spacing w:after="0" w:line="240" w:lineRule="auto"/>
        <w:rPr>
          <w:i/>
        </w:rPr>
      </w:pPr>
    </w:p>
    <w:p w14:paraId="62399EAC" w14:textId="578914C9" w:rsidR="00290EE2" w:rsidRDefault="00290EE2" w:rsidP="004A191B">
      <w:pPr>
        <w:spacing w:after="0" w:line="240" w:lineRule="auto"/>
        <w:rPr>
          <w:i/>
        </w:rPr>
      </w:pPr>
    </w:p>
    <w:p w14:paraId="40EF36DD" w14:textId="34189FF1" w:rsidR="00290EE2" w:rsidRDefault="00290EE2" w:rsidP="004A191B">
      <w:pPr>
        <w:spacing w:after="0" w:line="240" w:lineRule="auto"/>
        <w:rPr>
          <w:i/>
        </w:rPr>
      </w:pPr>
    </w:p>
    <w:p w14:paraId="2FBCAA5B" w14:textId="73E03BAC" w:rsidR="00290EE2" w:rsidRDefault="00290EE2" w:rsidP="004A191B">
      <w:pPr>
        <w:spacing w:after="0" w:line="240" w:lineRule="auto"/>
        <w:rPr>
          <w:i/>
        </w:rPr>
      </w:pPr>
    </w:p>
    <w:p w14:paraId="7C5E34C9" w14:textId="451BF43C" w:rsidR="00290EE2" w:rsidRDefault="00290EE2" w:rsidP="004A191B">
      <w:pPr>
        <w:spacing w:after="0" w:line="240" w:lineRule="auto"/>
        <w:rPr>
          <w:i/>
        </w:rPr>
      </w:pPr>
    </w:p>
    <w:p w14:paraId="5C758D51" w14:textId="24BB4F5E" w:rsidR="00290EE2" w:rsidRDefault="00290EE2" w:rsidP="004A191B">
      <w:pPr>
        <w:spacing w:after="0" w:line="240" w:lineRule="auto"/>
        <w:rPr>
          <w:i/>
        </w:rPr>
      </w:pPr>
    </w:p>
    <w:p w14:paraId="40E0950D" w14:textId="02C2EDA4" w:rsidR="00290EE2" w:rsidRDefault="00290EE2" w:rsidP="004A191B">
      <w:pPr>
        <w:spacing w:after="0" w:line="240" w:lineRule="auto"/>
        <w:rPr>
          <w:i/>
        </w:rPr>
      </w:pPr>
    </w:p>
    <w:p w14:paraId="0B235EDC" w14:textId="66FACCD4" w:rsidR="00290EE2" w:rsidRDefault="00290EE2" w:rsidP="004A191B">
      <w:pPr>
        <w:spacing w:after="0" w:line="240" w:lineRule="auto"/>
        <w:rPr>
          <w:i/>
        </w:rPr>
      </w:pPr>
    </w:p>
    <w:p w14:paraId="68CF56FD" w14:textId="5E2BC1EB" w:rsidR="00290EE2" w:rsidRDefault="00290EE2" w:rsidP="00290EE2">
      <w:pPr>
        <w:spacing w:after="0" w:line="240" w:lineRule="auto"/>
        <w:rPr>
          <w:i/>
        </w:rPr>
      </w:pPr>
      <w:r>
        <w:rPr>
          <w:i/>
        </w:rPr>
        <w:lastRenderedPageBreak/>
        <w:t>Appendix Table A5.4:  2018-19 Test Score Data for the D.C. Virgo Preparatory Academy and Other, Same-Grade Students in New Hanover County Schools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85"/>
        <w:gridCol w:w="955"/>
        <w:gridCol w:w="1870"/>
        <w:gridCol w:w="1870"/>
        <w:gridCol w:w="1870"/>
      </w:tblGrid>
      <w:tr w:rsidR="00290EE2" w14:paraId="364CE84C" w14:textId="77777777" w:rsidTr="000C2FB1">
        <w:tc>
          <w:tcPr>
            <w:tcW w:w="2785" w:type="dxa"/>
            <w:shd w:val="clear" w:color="auto" w:fill="F2F2F2" w:themeFill="background1" w:themeFillShade="F2"/>
            <w:vAlign w:val="center"/>
          </w:tcPr>
          <w:p w14:paraId="75490472" w14:textId="77777777" w:rsidR="00290EE2" w:rsidRPr="00A80F8F" w:rsidRDefault="00290EE2" w:rsidP="000C2FB1">
            <w:pPr>
              <w:jc w:val="center"/>
              <w:rPr>
                <w:sz w:val="18"/>
              </w:rPr>
            </w:pPr>
            <w:r>
              <w:rPr>
                <w:sz w:val="18"/>
              </w:rPr>
              <w:t>Test</w:t>
            </w:r>
          </w:p>
        </w:tc>
        <w:tc>
          <w:tcPr>
            <w:tcW w:w="955" w:type="dxa"/>
            <w:shd w:val="clear" w:color="auto" w:fill="F2F2F2" w:themeFill="background1" w:themeFillShade="F2"/>
            <w:vAlign w:val="center"/>
          </w:tcPr>
          <w:p w14:paraId="0D3C6FC5" w14:textId="77777777" w:rsidR="00290EE2" w:rsidRPr="00A80F8F" w:rsidRDefault="00290EE2" w:rsidP="000C2FB1">
            <w:pPr>
              <w:jc w:val="center"/>
              <w:rPr>
                <w:sz w:val="18"/>
              </w:rPr>
            </w:pPr>
            <w:r>
              <w:rPr>
                <w:sz w:val="18"/>
              </w:rPr>
              <w:t>Student Count</w:t>
            </w:r>
          </w:p>
        </w:tc>
        <w:tc>
          <w:tcPr>
            <w:tcW w:w="1870" w:type="dxa"/>
            <w:shd w:val="clear" w:color="auto" w:fill="F2F2F2" w:themeFill="background1" w:themeFillShade="F2"/>
            <w:vAlign w:val="center"/>
          </w:tcPr>
          <w:p w14:paraId="629890D6" w14:textId="77777777" w:rsidR="00290EE2" w:rsidRPr="00A80F8F" w:rsidRDefault="00290EE2" w:rsidP="000C2FB1">
            <w:pPr>
              <w:jc w:val="center"/>
              <w:rPr>
                <w:sz w:val="18"/>
              </w:rPr>
            </w:pPr>
            <w:r>
              <w:rPr>
                <w:sz w:val="18"/>
              </w:rPr>
              <w:t>Average Test Score</w:t>
            </w:r>
          </w:p>
        </w:tc>
        <w:tc>
          <w:tcPr>
            <w:tcW w:w="1870" w:type="dxa"/>
            <w:shd w:val="clear" w:color="auto" w:fill="F2F2F2" w:themeFill="background1" w:themeFillShade="F2"/>
            <w:vAlign w:val="center"/>
          </w:tcPr>
          <w:p w14:paraId="11F94B65" w14:textId="77777777" w:rsidR="00290EE2" w:rsidRPr="00A80F8F" w:rsidRDefault="00290EE2" w:rsidP="000C2FB1">
            <w:pPr>
              <w:jc w:val="center"/>
              <w:rPr>
                <w:sz w:val="18"/>
              </w:rPr>
            </w:pPr>
            <w:r>
              <w:rPr>
                <w:sz w:val="18"/>
              </w:rPr>
              <w:t>Percent Below Proficient</w:t>
            </w:r>
          </w:p>
        </w:tc>
        <w:tc>
          <w:tcPr>
            <w:tcW w:w="1870" w:type="dxa"/>
            <w:shd w:val="clear" w:color="auto" w:fill="F2F2F2" w:themeFill="background1" w:themeFillShade="F2"/>
            <w:vAlign w:val="center"/>
          </w:tcPr>
          <w:p w14:paraId="23CE1984" w14:textId="77777777" w:rsidR="00290EE2" w:rsidRDefault="00290EE2" w:rsidP="000C2FB1">
            <w:pPr>
              <w:jc w:val="center"/>
              <w:rPr>
                <w:sz w:val="18"/>
              </w:rPr>
            </w:pPr>
            <w:r>
              <w:rPr>
                <w:sz w:val="18"/>
              </w:rPr>
              <w:t xml:space="preserve">Percent Proficient </w:t>
            </w:r>
          </w:p>
          <w:p w14:paraId="34B59CCB" w14:textId="77777777" w:rsidR="00290EE2" w:rsidRPr="00A80F8F" w:rsidRDefault="00290EE2" w:rsidP="000C2FB1">
            <w:pPr>
              <w:jc w:val="center"/>
              <w:rPr>
                <w:sz w:val="18"/>
              </w:rPr>
            </w:pPr>
            <w:r>
              <w:rPr>
                <w:sz w:val="18"/>
              </w:rPr>
              <w:t>or Above</w:t>
            </w:r>
          </w:p>
        </w:tc>
      </w:tr>
      <w:tr w:rsidR="00290EE2" w14:paraId="0968AF35" w14:textId="77777777" w:rsidTr="000C2FB1">
        <w:tc>
          <w:tcPr>
            <w:tcW w:w="9350" w:type="dxa"/>
            <w:gridSpan w:val="5"/>
            <w:vAlign w:val="center"/>
          </w:tcPr>
          <w:p w14:paraId="3F786933" w14:textId="77777777" w:rsidR="00290EE2" w:rsidRPr="00A80F8F" w:rsidRDefault="00290EE2" w:rsidP="000C2FB1">
            <w:pPr>
              <w:jc w:val="center"/>
              <w:rPr>
                <w:i/>
                <w:sz w:val="18"/>
              </w:rPr>
            </w:pPr>
            <w:r>
              <w:rPr>
                <w:i/>
                <w:sz w:val="18"/>
              </w:rPr>
              <w:t>D.C. Virgo Preparatory Academy</w:t>
            </w:r>
          </w:p>
        </w:tc>
      </w:tr>
      <w:tr w:rsidR="00290EE2" w14:paraId="5A6BF4D4" w14:textId="77777777" w:rsidTr="000C2FB1">
        <w:tc>
          <w:tcPr>
            <w:tcW w:w="2785" w:type="dxa"/>
            <w:vAlign w:val="center"/>
          </w:tcPr>
          <w:p w14:paraId="10164A64" w14:textId="77777777" w:rsidR="00290EE2" w:rsidRPr="00A80F8F" w:rsidRDefault="00290EE2" w:rsidP="000C2FB1">
            <w:pPr>
              <w:jc w:val="right"/>
              <w:rPr>
                <w:sz w:val="18"/>
              </w:rPr>
            </w:pPr>
            <w:r>
              <w:rPr>
                <w:sz w:val="18"/>
              </w:rPr>
              <w:t xml:space="preserve"> 3</w:t>
            </w:r>
            <w:r w:rsidRPr="00A80F8F">
              <w:rPr>
                <w:sz w:val="18"/>
                <w:vertAlign w:val="superscript"/>
              </w:rPr>
              <w:t>rd</w:t>
            </w:r>
            <w:r>
              <w:rPr>
                <w:sz w:val="18"/>
              </w:rPr>
              <w:t xml:space="preserve"> Grade Reading</w:t>
            </w:r>
          </w:p>
        </w:tc>
        <w:tc>
          <w:tcPr>
            <w:tcW w:w="955" w:type="dxa"/>
            <w:vAlign w:val="center"/>
          </w:tcPr>
          <w:p w14:paraId="42309267" w14:textId="77777777" w:rsidR="00290EE2" w:rsidRPr="00A80F8F" w:rsidRDefault="00290EE2" w:rsidP="000C2FB1">
            <w:pPr>
              <w:jc w:val="center"/>
              <w:rPr>
                <w:sz w:val="18"/>
                <w:szCs w:val="18"/>
              </w:rPr>
            </w:pPr>
            <w:r>
              <w:rPr>
                <w:sz w:val="18"/>
                <w:szCs w:val="18"/>
              </w:rPr>
              <w:t>12</w:t>
            </w:r>
          </w:p>
        </w:tc>
        <w:tc>
          <w:tcPr>
            <w:tcW w:w="1870" w:type="dxa"/>
            <w:vAlign w:val="center"/>
          </w:tcPr>
          <w:p w14:paraId="5C6D5C79" w14:textId="77777777" w:rsidR="00290EE2" w:rsidRPr="00A80F8F" w:rsidRDefault="00290EE2" w:rsidP="000C2FB1">
            <w:pPr>
              <w:jc w:val="center"/>
              <w:rPr>
                <w:sz w:val="18"/>
                <w:szCs w:val="18"/>
              </w:rPr>
            </w:pPr>
            <w:r>
              <w:rPr>
                <w:sz w:val="18"/>
                <w:szCs w:val="18"/>
              </w:rPr>
              <w:t>431.42</w:t>
            </w:r>
          </w:p>
        </w:tc>
        <w:tc>
          <w:tcPr>
            <w:tcW w:w="1870" w:type="dxa"/>
            <w:vAlign w:val="center"/>
          </w:tcPr>
          <w:p w14:paraId="6A816CBD" w14:textId="77777777" w:rsidR="00290EE2" w:rsidRPr="00A80F8F" w:rsidRDefault="00290EE2" w:rsidP="000C2FB1">
            <w:pPr>
              <w:jc w:val="center"/>
              <w:rPr>
                <w:sz w:val="18"/>
                <w:szCs w:val="18"/>
              </w:rPr>
            </w:pPr>
            <w:r>
              <w:rPr>
                <w:sz w:val="18"/>
                <w:szCs w:val="18"/>
              </w:rPr>
              <w:t>75.00</w:t>
            </w:r>
          </w:p>
        </w:tc>
        <w:tc>
          <w:tcPr>
            <w:tcW w:w="1870" w:type="dxa"/>
            <w:vAlign w:val="center"/>
          </w:tcPr>
          <w:p w14:paraId="02358640" w14:textId="77777777" w:rsidR="00290EE2" w:rsidRPr="00A80F8F" w:rsidRDefault="00290EE2" w:rsidP="000C2FB1">
            <w:pPr>
              <w:jc w:val="center"/>
              <w:rPr>
                <w:sz w:val="18"/>
                <w:szCs w:val="18"/>
              </w:rPr>
            </w:pPr>
            <w:r>
              <w:rPr>
                <w:sz w:val="18"/>
                <w:szCs w:val="18"/>
              </w:rPr>
              <w:t>25.00</w:t>
            </w:r>
          </w:p>
        </w:tc>
      </w:tr>
      <w:tr w:rsidR="00290EE2" w14:paraId="1DC2B0A9" w14:textId="77777777" w:rsidTr="000C2FB1">
        <w:tc>
          <w:tcPr>
            <w:tcW w:w="2785" w:type="dxa"/>
            <w:vAlign w:val="center"/>
          </w:tcPr>
          <w:p w14:paraId="7A9C4FF7" w14:textId="77777777" w:rsidR="00290EE2" w:rsidRPr="00A80F8F" w:rsidRDefault="00290EE2" w:rsidP="000C2FB1">
            <w:pPr>
              <w:jc w:val="right"/>
              <w:rPr>
                <w:sz w:val="18"/>
              </w:rPr>
            </w:pPr>
            <w:r>
              <w:rPr>
                <w:sz w:val="18"/>
              </w:rPr>
              <w:t>4</w:t>
            </w:r>
            <w:r w:rsidRPr="00A80F8F">
              <w:rPr>
                <w:sz w:val="18"/>
                <w:vertAlign w:val="superscript"/>
              </w:rPr>
              <w:t>th</w:t>
            </w:r>
            <w:r>
              <w:rPr>
                <w:sz w:val="18"/>
              </w:rPr>
              <w:t xml:space="preserve"> Grade Reading</w:t>
            </w:r>
          </w:p>
        </w:tc>
        <w:tc>
          <w:tcPr>
            <w:tcW w:w="955" w:type="dxa"/>
            <w:vAlign w:val="center"/>
          </w:tcPr>
          <w:p w14:paraId="59B4BD9A" w14:textId="77777777" w:rsidR="00290EE2" w:rsidRPr="00A80F8F" w:rsidRDefault="00290EE2" w:rsidP="000C2FB1">
            <w:pPr>
              <w:jc w:val="center"/>
              <w:rPr>
                <w:sz w:val="18"/>
                <w:szCs w:val="18"/>
              </w:rPr>
            </w:pPr>
            <w:r>
              <w:rPr>
                <w:sz w:val="18"/>
                <w:szCs w:val="18"/>
              </w:rPr>
              <w:t>18</w:t>
            </w:r>
          </w:p>
        </w:tc>
        <w:tc>
          <w:tcPr>
            <w:tcW w:w="1870" w:type="dxa"/>
            <w:vAlign w:val="center"/>
          </w:tcPr>
          <w:p w14:paraId="05DA94FD" w14:textId="77777777" w:rsidR="00290EE2" w:rsidRPr="00A80F8F" w:rsidRDefault="00290EE2" w:rsidP="000C2FB1">
            <w:pPr>
              <w:jc w:val="center"/>
              <w:rPr>
                <w:sz w:val="18"/>
                <w:szCs w:val="18"/>
              </w:rPr>
            </w:pPr>
            <w:r>
              <w:rPr>
                <w:sz w:val="18"/>
                <w:szCs w:val="18"/>
              </w:rPr>
              <w:t>434.22</w:t>
            </w:r>
          </w:p>
        </w:tc>
        <w:tc>
          <w:tcPr>
            <w:tcW w:w="1870" w:type="dxa"/>
            <w:vAlign w:val="center"/>
          </w:tcPr>
          <w:p w14:paraId="2D9271CC" w14:textId="77777777" w:rsidR="00290EE2" w:rsidRPr="00A80F8F" w:rsidRDefault="00290EE2" w:rsidP="000C2FB1">
            <w:pPr>
              <w:jc w:val="center"/>
              <w:rPr>
                <w:sz w:val="18"/>
                <w:szCs w:val="18"/>
              </w:rPr>
            </w:pPr>
            <w:r>
              <w:rPr>
                <w:sz w:val="18"/>
                <w:szCs w:val="18"/>
              </w:rPr>
              <w:t>77.78</w:t>
            </w:r>
          </w:p>
        </w:tc>
        <w:tc>
          <w:tcPr>
            <w:tcW w:w="1870" w:type="dxa"/>
            <w:vAlign w:val="center"/>
          </w:tcPr>
          <w:p w14:paraId="66246850" w14:textId="77777777" w:rsidR="00290EE2" w:rsidRPr="00A80F8F" w:rsidRDefault="00290EE2" w:rsidP="000C2FB1">
            <w:pPr>
              <w:jc w:val="center"/>
              <w:rPr>
                <w:sz w:val="18"/>
                <w:szCs w:val="18"/>
              </w:rPr>
            </w:pPr>
            <w:r>
              <w:rPr>
                <w:sz w:val="18"/>
                <w:szCs w:val="18"/>
              </w:rPr>
              <w:t>22.22</w:t>
            </w:r>
          </w:p>
        </w:tc>
      </w:tr>
      <w:tr w:rsidR="00290EE2" w14:paraId="49292169" w14:textId="77777777" w:rsidTr="000C2FB1">
        <w:tc>
          <w:tcPr>
            <w:tcW w:w="2785" w:type="dxa"/>
            <w:vAlign w:val="center"/>
          </w:tcPr>
          <w:p w14:paraId="510016F0" w14:textId="77777777" w:rsidR="00290EE2" w:rsidRDefault="00290EE2" w:rsidP="000C2FB1">
            <w:pPr>
              <w:jc w:val="right"/>
              <w:rPr>
                <w:sz w:val="18"/>
              </w:rPr>
            </w:pPr>
            <w:r>
              <w:rPr>
                <w:sz w:val="18"/>
              </w:rPr>
              <w:t>5</w:t>
            </w:r>
            <w:r w:rsidRPr="000F1F8B">
              <w:rPr>
                <w:sz w:val="18"/>
                <w:vertAlign w:val="superscript"/>
              </w:rPr>
              <w:t>th</w:t>
            </w:r>
            <w:r>
              <w:rPr>
                <w:sz w:val="18"/>
              </w:rPr>
              <w:t xml:space="preserve"> Grade Reading</w:t>
            </w:r>
          </w:p>
        </w:tc>
        <w:tc>
          <w:tcPr>
            <w:tcW w:w="955" w:type="dxa"/>
            <w:vAlign w:val="center"/>
          </w:tcPr>
          <w:p w14:paraId="0B7CE356" w14:textId="77777777" w:rsidR="00290EE2" w:rsidRDefault="00290EE2" w:rsidP="000C2FB1">
            <w:pPr>
              <w:jc w:val="center"/>
              <w:rPr>
                <w:sz w:val="18"/>
                <w:szCs w:val="18"/>
              </w:rPr>
            </w:pPr>
            <w:r>
              <w:rPr>
                <w:sz w:val="18"/>
                <w:szCs w:val="18"/>
              </w:rPr>
              <w:t>25</w:t>
            </w:r>
          </w:p>
        </w:tc>
        <w:tc>
          <w:tcPr>
            <w:tcW w:w="1870" w:type="dxa"/>
            <w:vAlign w:val="center"/>
          </w:tcPr>
          <w:p w14:paraId="512A0E2B" w14:textId="77777777" w:rsidR="00290EE2" w:rsidRDefault="00290EE2" w:rsidP="000C2FB1">
            <w:pPr>
              <w:jc w:val="center"/>
              <w:rPr>
                <w:sz w:val="18"/>
                <w:szCs w:val="18"/>
              </w:rPr>
            </w:pPr>
            <w:r>
              <w:rPr>
                <w:sz w:val="18"/>
                <w:szCs w:val="18"/>
              </w:rPr>
              <w:t>442.92</w:t>
            </w:r>
          </w:p>
        </w:tc>
        <w:tc>
          <w:tcPr>
            <w:tcW w:w="1870" w:type="dxa"/>
            <w:vAlign w:val="center"/>
          </w:tcPr>
          <w:p w14:paraId="556E5CBD" w14:textId="77777777" w:rsidR="00290EE2" w:rsidRDefault="00290EE2" w:rsidP="000C2FB1">
            <w:pPr>
              <w:jc w:val="center"/>
              <w:rPr>
                <w:sz w:val="18"/>
                <w:szCs w:val="18"/>
              </w:rPr>
            </w:pPr>
            <w:r>
              <w:rPr>
                <w:sz w:val="18"/>
                <w:szCs w:val="18"/>
              </w:rPr>
              <w:t>80.00</w:t>
            </w:r>
          </w:p>
        </w:tc>
        <w:tc>
          <w:tcPr>
            <w:tcW w:w="1870" w:type="dxa"/>
            <w:vAlign w:val="center"/>
          </w:tcPr>
          <w:p w14:paraId="05E8A5B1" w14:textId="77777777" w:rsidR="00290EE2" w:rsidRDefault="00290EE2" w:rsidP="000C2FB1">
            <w:pPr>
              <w:jc w:val="center"/>
              <w:rPr>
                <w:sz w:val="18"/>
                <w:szCs w:val="18"/>
              </w:rPr>
            </w:pPr>
            <w:r>
              <w:rPr>
                <w:sz w:val="18"/>
                <w:szCs w:val="18"/>
              </w:rPr>
              <w:t>20.00</w:t>
            </w:r>
          </w:p>
        </w:tc>
      </w:tr>
      <w:tr w:rsidR="00290EE2" w14:paraId="77DB125E" w14:textId="77777777" w:rsidTr="000C2FB1">
        <w:tc>
          <w:tcPr>
            <w:tcW w:w="2785" w:type="dxa"/>
            <w:vAlign w:val="center"/>
          </w:tcPr>
          <w:p w14:paraId="49F39621" w14:textId="77777777" w:rsidR="00290EE2" w:rsidRDefault="00290EE2" w:rsidP="000C2FB1">
            <w:pPr>
              <w:jc w:val="right"/>
              <w:rPr>
                <w:sz w:val="18"/>
              </w:rPr>
            </w:pPr>
            <w:r>
              <w:rPr>
                <w:sz w:val="18"/>
              </w:rPr>
              <w:t>6</w:t>
            </w:r>
            <w:r w:rsidRPr="00AF07AB">
              <w:rPr>
                <w:sz w:val="18"/>
                <w:vertAlign w:val="superscript"/>
              </w:rPr>
              <w:t>th</w:t>
            </w:r>
            <w:r>
              <w:rPr>
                <w:sz w:val="18"/>
              </w:rPr>
              <w:t xml:space="preserve"> Grade Reading</w:t>
            </w:r>
          </w:p>
        </w:tc>
        <w:tc>
          <w:tcPr>
            <w:tcW w:w="955" w:type="dxa"/>
            <w:vAlign w:val="center"/>
          </w:tcPr>
          <w:p w14:paraId="20D359CA" w14:textId="77777777" w:rsidR="00290EE2" w:rsidRDefault="00290EE2" w:rsidP="000C2FB1">
            <w:pPr>
              <w:jc w:val="center"/>
              <w:rPr>
                <w:sz w:val="18"/>
                <w:szCs w:val="18"/>
              </w:rPr>
            </w:pPr>
            <w:r>
              <w:rPr>
                <w:sz w:val="18"/>
                <w:szCs w:val="18"/>
              </w:rPr>
              <w:t>34</w:t>
            </w:r>
          </w:p>
        </w:tc>
        <w:tc>
          <w:tcPr>
            <w:tcW w:w="1870" w:type="dxa"/>
            <w:vAlign w:val="center"/>
          </w:tcPr>
          <w:p w14:paraId="67286024" w14:textId="77777777" w:rsidR="00290EE2" w:rsidRDefault="00290EE2" w:rsidP="000C2FB1">
            <w:pPr>
              <w:jc w:val="center"/>
              <w:rPr>
                <w:sz w:val="18"/>
                <w:szCs w:val="18"/>
              </w:rPr>
            </w:pPr>
            <w:r>
              <w:rPr>
                <w:sz w:val="18"/>
                <w:szCs w:val="18"/>
              </w:rPr>
              <w:t>447.35</w:t>
            </w:r>
          </w:p>
        </w:tc>
        <w:tc>
          <w:tcPr>
            <w:tcW w:w="1870" w:type="dxa"/>
            <w:vAlign w:val="center"/>
          </w:tcPr>
          <w:p w14:paraId="12FD230B" w14:textId="77777777" w:rsidR="00290EE2" w:rsidRDefault="00290EE2" w:rsidP="000C2FB1">
            <w:pPr>
              <w:jc w:val="center"/>
              <w:rPr>
                <w:sz w:val="18"/>
                <w:szCs w:val="18"/>
              </w:rPr>
            </w:pPr>
            <w:r>
              <w:rPr>
                <w:sz w:val="18"/>
                <w:szCs w:val="18"/>
              </w:rPr>
              <w:t>64.71</w:t>
            </w:r>
          </w:p>
        </w:tc>
        <w:tc>
          <w:tcPr>
            <w:tcW w:w="1870" w:type="dxa"/>
            <w:vAlign w:val="center"/>
          </w:tcPr>
          <w:p w14:paraId="143607EF" w14:textId="77777777" w:rsidR="00290EE2" w:rsidRDefault="00290EE2" w:rsidP="000C2FB1">
            <w:pPr>
              <w:jc w:val="center"/>
              <w:rPr>
                <w:sz w:val="18"/>
                <w:szCs w:val="18"/>
              </w:rPr>
            </w:pPr>
            <w:r>
              <w:rPr>
                <w:sz w:val="18"/>
                <w:szCs w:val="18"/>
              </w:rPr>
              <w:t>35.29</w:t>
            </w:r>
          </w:p>
        </w:tc>
      </w:tr>
      <w:tr w:rsidR="00290EE2" w14:paraId="689AB477" w14:textId="77777777" w:rsidTr="000C2FB1">
        <w:tc>
          <w:tcPr>
            <w:tcW w:w="2785" w:type="dxa"/>
            <w:vAlign w:val="center"/>
          </w:tcPr>
          <w:p w14:paraId="2A5CA958" w14:textId="77777777" w:rsidR="00290EE2" w:rsidRDefault="00290EE2" w:rsidP="000C2FB1">
            <w:pPr>
              <w:jc w:val="right"/>
              <w:rPr>
                <w:sz w:val="18"/>
              </w:rPr>
            </w:pPr>
            <w:r>
              <w:rPr>
                <w:sz w:val="18"/>
              </w:rPr>
              <w:t>7</w:t>
            </w:r>
            <w:r w:rsidRPr="00AF07AB">
              <w:rPr>
                <w:sz w:val="18"/>
                <w:vertAlign w:val="superscript"/>
              </w:rPr>
              <w:t>th</w:t>
            </w:r>
            <w:r>
              <w:rPr>
                <w:sz w:val="18"/>
              </w:rPr>
              <w:t xml:space="preserve"> Grade Reading</w:t>
            </w:r>
          </w:p>
        </w:tc>
        <w:tc>
          <w:tcPr>
            <w:tcW w:w="955" w:type="dxa"/>
            <w:vAlign w:val="center"/>
          </w:tcPr>
          <w:p w14:paraId="3FD95EEC" w14:textId="77777777" w:rsidR="00290EE2" w:rsidRDefault="00290EE2" w:rsidP="000C2FB1">
            <w:pPr>
              <w:jc w:val="center"/>
              <w:rPr>
                <w:sz w:val="18"/>
                <w:szCs w:val="18"/>
              </w:rPr>
            </w:pPr>
            <w:r>
              <w:rPr>
                <w:sz w:val="18"/>
                <w:szCs w:val="18"/>
              </w:rPr>
              <w:t>38</w:t>
            </w:r>
          </w:p>
        </w:tc>
        <w:tc>
          <w:tcPr>
            <w:tcW w:w="1870" w:type="dxa"/>
            <w:vAlign w:val="center"/>
          </w:tcPr>
          <w:p w14:paraId="111B684B" w14:textId="77777777" w:rsidR="00290EE2" w:rsidRDefault="00290EE2" w:rsidP="000C2FB1">
            <w:pPr>
              <w:jc w:val="center"/>
              <w:rPr>
                <w:sz w:val="18"/>
                <w:szCs w:val="18"/>
              </w:rPr>
            </w:pPr>
            <w:r>
              <w:rPr>
                <w:sz w:val="18"/>
                <w:szCs w:val="18"/>
              </w:rPr>
              <w:t>446.16</w:t>
            </w:r>
          </w:p>
        </w:tc>
        <w:tc>
          <w:tcPr>
            <w:tcW w:w="1870" w:type="dxa"/>
            <w:vAlign w:val="center"/>
          </w:tcPr>
          <w:p w14:paraId="637CAF94" w14:textId="77777777" w:rsidR="00290EE2" w:rsidRDefault="00290EE2" w:rsidP="000C2FB1">
            <w:pPr>
              <w:jc w:val="center"/>
              <w:rPr>
                <w:sz w:val="18"/>
                <w:szCs w:val="18"/>
              </w:rPr>
            </w:pPr>
            <w:r>
              <w:rPr>
                <w:sz w:val="18"/>
                <w:szCs w:val="18"/>
              </w:rPr>
              <w:t>68.42</w:t>
            </w:r>
          </w:p>
        </w:tc>
        <w:tc>
          <w:tcPr>
            <w:tcW w:w="1870" w:type="dxa"/>
            <w:vAlign w:val="center"/>
          </w:tcPr>
          <w:p w14:paraId="4168B2A8" w14:textId="77777777" w:rsidR="00290EE2" w:rsidRDefault="00290EE2" w:rsidP="000C2FB1">
            <w:pPr>
              <w:jc w:val="center"/>
              <w:rPr>
                <w:sz w:val="18"/>
                <w:szCs w:val="18"/>
              </w:rPr>
            </w:pPr>
            <w:r>
              <w:rPr>
                <w:sz w:val="18"/>
                <w:szCs w:val="18"/>
              </w:rPr>
              <w:t>31.58</w:t>
            </w:r>
          </w:p>
        </w:tc>
      </w:tr>
      <w:tr w:rsidR="00290EE2" w14:paraId="3E628596" w14:textId="77777777" w:rsidTr="000C2FB1">
        <w:tc>
          <w:tcPr>
            <w:tcW w:w="2785" w:type="dxa"/>
            <w:vAlign w:val="center"/>
          </w:tcPr>
          <w:p w14:paraId="120A267B" w14:textId="77777777" w:rsidR="00290EE2" w:rsidRDefault="00290EE2" w:rsidP="000C2FB1">
            <w:pPr>
              <w:jc w:val="right"/>
              <w:rPr>
                <w:sz w:val="18"/>
              </w:rPr>
            </w:pPr>
            <w:r>
              <w:rPr>
                <w:sz w:val="18"/>
              </w:rPr>
              <w:t>8</w:t>
            </w:r>
            <w:r w:rsidRPr="00AF07AB">
              <w:rPr>
                <w:sz w:val="18"/>
                <w:vertAlign w:val="superscript"/>
              </w:rPr>
              <w:t>th</w:t>
            </w:r>
            <w:r>
              <w:rPr>
                <w:sz w:val="18"/>
              </w:rPr>
              <w:t xml:space="preserve"> Grade Reading</w:t>
            </w:r>
          </w:p>
        </w:tc>
        <w:tc>
          <w:tcPr>
            <w:tcW w:w="955" w:type="dxa"/>
            <w:vAlign w:val="center"/>
          </w:tcPr>
          <w:p w14:paraId="2A72E9B8" w14:textId="77777777" w:rsidR="00290EE2" w:rsidRDefault="00290EE2" w:rsidP="000C2FB1">
            <w:pPr>
              <w:jc w:val="center"/>
              <w:rPr>
                <w:sz w:val="18"/>
                <w:szCs w:val="18"/>
              </w:rPr>
            </w:pPr>
            <w:r>
              <w:rPr>
                <w:sz w:val="18"/>
                <w:szCs w:val="18"/>
              </w:rPr>
              <w:t>30</w:t>
            </w:r>
          </w:p>
        </w:tc>
        <w:tc>
          <w:tcPr>
            <w:tcW w:w="1870" w:type="dxa"/>
            <w:vAlign w:val="center"/>
          </w:tcPr>
          <w:p w14:paraId="157CF1B1" w14:textId="77777777" w:rsidR="00290EE2" w:rsidRDefault="00290EE2" w:rsidP="000C2FB1">
            <w:pPr>
              <w:jc w:val="center"/>
              <w:rPr>
                <w:sz w:val="18"/>
                <w:szCs w:val="18"/>
              </w:rPr>
            </w:pPr>
            <w:r>
              <w:rPr>
                <w:sz w:val="18"/>
                <w:szCs w:val="18"/>
              </w:rPr>
              <w:t>448.97</w:t>
            </w:r>
          </w:p>
        </w:tc>
        <w:tc>
          <w:tcPr>
            <w:tcW w:w="1870" w:type="dxa"/>
            <w:vAlign w:val="center"/>
          </w:tcPr>
          <w:p w14:paraId="7550CF77" w14:textId="77777777" w:rsidR="00290EE2" w:rsidRDefault="00290EE2" w:rsidP="000C2FB1">
            <w:pPr>
              <w:jc w:val="center"/>
              <w:rPr>
                <w:sz w:val="18"/>
                <w:szCs w:val="18"/>
              </w:rPr>
            </w:pPr>
            <w:r>
              <w:rPr>
                <w:sz w:val="18"/>
                <w:szCs w:val="18"/>
              </w:rPr>
              <w:t>76.67</w:t>
            </w:r>
          </w:p>
        </w:tc>
        <w:tc>
          <w:tcPr>
            <w:tcW w:w="1870" w:type="dxa"/>
            <w:vAlign w:val="center"/>
          </w:tcPr>
          <w:p w14:paraId="383402F7" w14:textId="77777777" w:rsidR="00290EE2" w:rsidRDefault="00290EE2" w:rsidP="000C2FB1">
            <w:pPr>
              <w:jc w:val="center"/>
              <w:rPr>
                <w:sz w:val="18"/>
                <w:szCs w:val="18"/>
              </w:rPr>
            </w:pPr>
            <w:r>
              <w:rPr>
                <w:sz w:val="18"/>
                <w:szCs w:val="18"/>
              </w:rPr>
              <w:t>23.33</w:t>
            </w:r>
          </w:p>
        </w:tc>
      </w:tr>
      <w:tr w:rsidR="00290EE2" w14:paraId="12005096" w14:textId="77777777" w:rsidTr="000C2FB1">
        <w:tc>
          <w:tcPr>
            <w:tcW w:w="2785" w:type="dxa"/>
            <w:vAlign w:val="center"/>
          </w:tcPr>
          <w:p w14:paraId="64ABACBF" w14:textId="77777777" w:rsidR="00290EE2" w:rsidRPr="00A80F8F" w:rsidRDefault="00290EE2" w:rsidP="000C2FB1">
            <w:pPr>
              <w:jc w:val="right"/>
              <w:rPr>
                <w:sz w:val="18"/>
              </w:rPr>
            </w:pPr>
            <w:r>
              <w:rPr>
                <w:sz w:val="18"/>
              </w:rPr>
              <w:t>3</w:t>
            </w:r>
            <w:r w:rsidRPr="00A80F8F">
              <w:rPr>
                <w:sz w:val="18"/>
                <w:vertAlign w:val="superscript"/>
              </w:rPr>
              <w:t>rd</w:t>
            </w:r>
            <w:r>
              <w:rPr>
                <w:sz w:val="18"/>
              </w:rPr>
              <w:t xml:space="preserve"> Grade Math</w:t>
            </w:r>
          </w:p>
        </w:tc>
        <w:tc>
          <w:tcPr>
            <w:tcW w:w="955" w:type="dxa"/>
            <w:vAlign w:val="center"/>
          </w:tcPr>
          <w:p w14:paraId="290F12C0" w14:textId="77777777" w:rsidR="00290EE2" w:rsidRPr="00A80F8F" w:rsidRDefault="00290EE2" w:rsidP="000C2FB1">
            <w:pPr>
              <w:jc w:val="center"/>
              <w:rPr>
                <w:sz w:val="18"/>
                <w:szCs w:val="18"/>
              </w:rPr>
            </w:pPr>
            <w:r>
              <w:rPr>
                <w:sz w:val="18"/>
                <w:szCs w:val="18"/>
              </w:rPr>
              <w:t>12</w:t>
            </w:r>
          </w:p>
        </w:tc>
        <w:tc>
          <w:tcPr>
            <w:tcW w:w="1870" w:type="dxa"/>
            <w:vAlign w:val="center"/>
          </w:tcPr>
          <w:p w14:paraId="424F10CA" w14:textId="77777777" w:rsidR="00290EE2" w:rsidRPr="00A80F8F" w:rsidRDefault="00290EE2" w:rsidP="000C2FB1">
            <w:pPr>
              <w:jc w:val="center"/>
              <w:rPr>
                <w:sz w:val="18"/>
                <w:szCs w:val="18"/>
              </w:rPr>
            </w:pPr>
            <w:r>
              <w:rPr>
                <w:sz w:val="18"/>
                <w:szCs w:val="18"/>
              </w:rPr>
              <w:t>543.08</w:t>
            </w:r>
          </w:p>
        </w:tc>
        <w:tc>
          <w:tcPr>
            <w:tcW w:w="1870" w:type="dxa"/>
            <w:vAlign w:val="center"/>
          </w:tcPr>
          <w:p w14:paraId="6E43E255" w14:textId="77777777" w:rsidR="00290EE2" w:rsidRPr="00A80F8F" w:rsidRDefault="00290EE2" w:rsidP="000C2FB1">
            <w:pPr>
              <w:jc w:val="center"/>
              <w:rPr>
                <w:sz w:val="18"/>
                <w:szCs w:val="18"/>
              </w:rPr>
            </w:pPr>
            <w:r>
              <w:rPr>
                <w:sz w:val="18"/>
                <w:szCs w:val="18"/>
              </w:rPr>
              <w:t>66.67</w:t>
            </w:r>
          </w:p>
        </w:tc>
        <w:tc>
          <w:tcPr>
            <w:tcW w:w="1870" w:type="dxa"/>
            <w:vAlign w:val="center"/>
          </w:tcPr>
          <w:p w14:paraId="3D4EC5A0" w14:textId="77777777" w:rsidR="00290EE2" w:rsidRPr="00A80F8F" w:rsidRDefault="00290EE2" w:rsidP="000C2FB1">
            <w:pPr>
              <w:jc w:val="center"/>
              <w:rPr>
                <w:sz w:val="18"/>
                <w:szCs w:val="18"/>
              </w:rPr>
            </w:pPr>
            <w:r>
              <w:rPr>
                <w:sz w:val="18"/>
                <w:szCs w:val="18"/>
              </w:rPr>
              <w:t>33.33</w:t>
            </w:r>
          </w:p>
        </w:tc>
      </w:tr>
      <w:tr w:rsidR="00290EE2" w14:paraId="422C6A5B" w14:textId="77777777" w:rsidTr="000C2FB1">
        <w:tc>
          <w:tcPr>
            <w:tcW w:w="2785" w:type="dxa"/>
            <w:vAlign w:val="center"/>
          </w:tcPr>
          <w:p w14:paraId="31204C95" w14:textId="77777777" w:rsidR="00290EE2" w:rsidRPr="00A80F8F" w:rsidRDefault="00290EE2" w:rsidP="000C2FB1">
            <w:pPr>
              <w:jc w:val="right"/>
              <w:rPr>
                <w:sz w:val="18"/>
              </w:rPr>
            </w:pPr>
            <w:r>
              <w:rPr>
                <w:sz w:val="18"/>
              </w:rPr>
              <w:t>4</w:t>
            </w:r>
            <w:r w:rsidRPr="00A80F8F">
              <w:rPr>
                <w:sz w:val="18"/>
                <w:vertAlign w:val="superscript"/>
              </w:rPr>
              <w:t>th</w:t>
            </w:r>
            <w:r>
              <w:rPr>
                <w:sz w:val="18"/>
              </w:rPr>
              <w:t xml:space="preserve"> Grade Math</w:t>
            </w:r>
          </w:p>
        </w:tc>
        <w:tc>
          <w:tcPr>
            <w:tcW w:w="955" w:type="dxa"/>
            <w:vAlign w:val="center"/>
          </w:tcPr>
          <w:p w14:paraId="3F26AB8C" w14:textId="77777777" w:rsidR="00290EE2" w:rsidRPr="00A80F8F" w:rsidRDefault="00290EE2" w:rsidP="000C2FB1">
            <w:pPr>
              <w:jc w:val="center"/>
              <w:rPr>
                <w:sz w:val="18"/>
                <w:szCs w:val="18"/>
              </w:rPr>
            </w:pPr>
            <w:r>
              <w:rPr>
                <w:sz w:val="18"/>
                <w:szCs w:val="18"/>
              </w:rPr>
              <w:t>18</w:t>
            </w:r>
          </w:p>
        </w:tc>
        <w:tc>
          <w:tcPr>
            <w:tcW w:w="1870" w:type="dxa"/>
            <w:vAlign w:val="center"/>
          </w:tcPr>
          <w:p w14:paraId="498FF546" w14:textId="77777777" w:rsidR="00290EE2" w:rsidRPr="00A80F8F" w:rsidRDefault="00290EE2" w:rsidP="000C2FB1">
            <w:pPr>
              <w:jc w:val="center"/>
              <w:rPr>
                <w:sz w:val="18"/>
                <w:szCs w:val="18"/>
              </w:rPr>
            </w:pPr>
            <w:r>
              <w:rPr>
                <w:sz w:val="18"/>
                <w:szCs w:val="18"/>
              </w:rPr>
              <w:t>534.89</w:t>
            </w:r>
          </w:p>
        </w:tc>
        <w:tc>
          <w:tcPr>
            <w:tcW w:w="1870" w:type="dxa"/>
            <w:vAlign w:val="center"/>
          </w:tcPr>
          <w:p w14:paraId="32C148FC" w14:textId="77777777" w:rsidR="00290EE2" w:rsidRPr="00A80F8F" w:rsidRDefault="00290EE2" w:rsidP="000C2FB1">
            <w:pPr>
              <w:jc w:val="center"/>
              <w:rPr>
                <w:sz w:val="18"/>
                <w:szCs w:val="18"/>
              </w:rPr>
            </w:pPr>
            <w:r>
              <w:rPr>
                <w:sz w:val="18"/>
                <w:szCs w:val="18"/>
              </w:rPr>
              <w:t>94.44</w:t>
            </w:r>
          </w:p>
        </w:tc>
        <w:tc>
          <w:tcPr>
            <w:tcW w:w="1870" w:type="dxa"/>
            <w:vAlign w:val="center"/>
          </w:tcPr>
          <w:p w14:paraId="3C19BB1F" w14:textId="77777777" w:rsidR="00290EE2" w:rsidRPr="00A80F8F" w:rsidRDefault="00290EE2" w:rsidP="000C2FB1">
            <w:pPr>
              <w:jc w:val="center"/>
              <w:rPr>
                <w:sz w:val="18"/>
                <w:szCs w:val="18"/>
              </w:rPr>
            </w:pPr>
            <w:r>
              <w:rPr>
                <w:sz w:val="18"/>
                <w:szCs w:val="18"/>
              </w:rPr>
              <w:t>5.56</w:t>
            </w:r>
          </w:p>
        </w:tc>
      </w:tr>
      <w:tr w:rsidR="00290EE2" w14:paraId="1D136110" w14:textId="77777777" w:rsidTr="000C2FB1">
        <w:tc>
          <w:tcPr>
            <w:tcW w:w="2785" w:type="dxa"/>
            <w:vAlign w:val="center"/>
          </w:tcPr>
          <w:p w14:paraId="3CF8F395" w14:textId="77777777" w:rsidR="00290EE2" w:rsidRDefault="00290EE2" w:rsidP="000C2FB1">
            <w:pPr>
              <w:jc w:val="right"/>
              <w:rPr>
                <w:sz w:val="18"/>
              </w:rPr>
            </w:pPr>
            <w:r>
              <w:rPr>
                <w:sz w:val="18"/>
              </w:rPr>
              <w:t>5</w:t>
            </w:r>
            <w:r w:rsidRPr="000F1F8B">
              <w:rPr>
                <w:sz w:val="18"/>
                <w:vertAlign w:val="superscript"/>
              </w:rPr>
              <w:t>th</w:t>
            </w:r>
            <w:r>
              <w:rPr>
                <w:sz w:val="18"/>
              </w:rPr>
              <w:t xml:space="preserve"> Grade Math</w:t>
            </w:r>
          </w:p>
        </w:tc>
        <w:tc>
          <w:tcPr>
            <w:tcW w:w="955" w:type="dxa"/>
            <w:vAlign w:val="center"/>
          </w:tcPr>
          <w:p w14:paraId="35A582C1" w14:textId="77777777" w:rsidR="00290EE2" w:rsidRDefault="00290EE2" w:rsidP="000C2FB1">
            <w:pPr>
              <w:jc w:val="center"/>
              <w:rPr>
                <w:sz w:val="18"/>
                <w:szCs w:val="18"/>
              </w:rPr>
            </w:pPr>
            <w:r>
              <w:rPr>
                <w:sz w:val="18"/>
                <w:szCs w:val="18"/>
              </w:rPr>
              <w:t>25</w:t>
            </w:r>
          </w:p>
        </w:tc>
        <w:tc>
          <w:tcPr>
            <w:tcW w:w="1870" w:type="dxa"/>
            <w:vAlign w:val="center"/>
          </w:tcPr>
          <w:p w14:paraId="299607F9" w14:textId="77777777" w:rsidR="00290EE2" w:rsidRDefault="00290EE2" w:rsidP="000C2FB1">
            <w:pPr>
              <w:jc w:val="center"/>
              <w:rPr>
                <w:sz w:val="18"/>
                <w:szCs w:val="18"/>
              </w:rPr>
            </w:pPr>
            <w:r>
              <w:rPr>
                <w:sz w:val="18"/>
                <w:szCs w:val="18"/>
              </w:rPr>
              <w:t>544.00</w:t>
            </w:r>
          </w:p>
        </w:tc>
        <w:tc>
          <w:tcPr>
            <w:tcW w:w="1870" w:type="dxa"/>
            <w:vAlign w:val="center"/>
          </w:tcPr>
          <w:p w14:paraId="7BBC9779" w14:textId="77777777" w:rsidR="00290EE2" w:rsidRDefault="00290EE2" w:rsidP="000C2FB1">
            <w:pPr>
              <w:jc w:val="center"/>
              <w:rPr>
                <w:sz w:val="18"/>
                <w:szCs w:val="18"/>
              </w:rPr>
            </w:pPr>
            <w:r>
              <w:rPr>
                <w:sz w:val="18"/>
                <w:szCs w:val="18"/>
              </w:rPr>
              <w:t>56.00</w:t>
            </w:r>
          </w:p>
        </w:tc>
        <w:tc>
          <w:tcPr>
            <w:tcW w:w="1870" w:type="dxa"/>
            <w:vAlign w:val="center"/>
          </w:tcPr>
          <w:p w14:paraId="0D0BE9C2" w14:textId="77777777" w:rsidR="00290EE2" w:rsidRDefault="00290EE2" w:rsidP="000C2FB1">
            <w:pPr>
              <w:jc w:val="center"/>
              <w:rPr>
                <w:sz w:val="18"/>
                <w:szCs w:val="18"/>
              </w:rPr>
            </w:pPr>
            <w:r>
              <w:rPr>
                <w:sz w:val="18"/>
                <w:szCs w:val="18"/>
              </w:rPr>
              <w:t>44.00</w:t>
            </w:r>
          </w:p>
        </w:tc>
      </w:tr>
      <w:tr w:rsidR="00290EE2" w14:paraId="53B285A1" w14:textId="77777777" w:rsidTr="000C2FB1">
        <w:tc>
          <w:tcPr>
            <w:tcW w:w="2785" w:type="dxa"/>
            <w:vAlign w:val="center"/>
          </w:tcPr>
          <w:p w14:paraId="0B7F7563" w14:textId="77777777" w:rsidR="00290EE2" w:rsidRDefault="00290EE2" w:rsidP="000C2FB1">
            <w:pPr>
              <w:jc w:val="right"/>
              <w:rPr>
                <w:sz w:val="18"/>
              </w:rPr>
            </w:pPr>
            <w:r>
              <w:rPr>
                <w:sz w:val="18"/>
              </w:rPr>
              <w:t>6</w:t>
            </w:r>
            <w:r w:rsidRPr="00AF07AB">
              <w:rPr>
                <w:sz w:val="18"/>
                <w:vertAlign w:val="superscript"/>
              </w:rPr>
              <w:t>th</w:t>
            </w:r>
            <w:r>
              <w:rPr>
                <w:sz w:val="18"/>
              </w:rPr>
              <w:t xml:space="preserve"> Grade Math</w:t>
            </w:r>
          </w:p>
        </w:tc>
        <w:tc>
          <w:tcPr>
            <w:tcW w:w="955" w:type="dxa"/>
            <w:vAlign w:val="center"/>
          </w:tcPr>
          <w:p w14:paraId="33C710E3" w14:textId="77777777" w:rsidR="00290EE2" w:rsidRDefault="00290EE2" w:rsidP="000C2FB1">
            <w:pPr>
              <w:jc w:val="center"/>
              <w:rPr>
                <w:sz w:val="18"/>
                <w:szCs w:val="18"/>
              </w:rPr>
            </w:pPr>
            <w:r>
              <w:rPr>
                <w:sz w:val="18"/>
                <w:szCs w:val="18"/>
              </w:rPr>
              <w:t>34</w:t>
            </w:r>
          </w:p>
        </w:tc>
        <w:tc>
          <w:tcPr>
            <w:tcW w:w="1870" w:type="dxa"/>
            <w:vAlign w:val="center"/>
          </w:tcPr>
          <w:p w14:paraId="76DF9799" w14:textId="77777777" w:rsidR="00290EE2" w:rsidRDefault="00290EE2" w:rsidP="000C2FB1">
            <w:pPr>
              <w:jc w:val="center"/>
              <w:rPr>
                <w:sz w:val="18"/>
                <w:szCs w:val="18"/>
              </w:rPr>
            </w:pPr>
            <w:r>
              <w:rPr>
                <w:sz w:val="18"/>
                <w:szCs w:val="18"/>
              </w:rPr>
              <w:t>543.44</w:t>
            </w:r>
          </w:p>
        </w:tc>
        <w:tc>
          <w:tcPr>
            <w:tcW w:w="1870" w:type="dxa"/>
            <w:vAlign w:val="center"/>
          </w:tcPr>
          <w:p w14:paraId="7AC7BF31" w14:textId="77777777" w:rsidR="00290EE2" w:rsidRDefault="00290EE2" w:rsidP="000C2FB1">
            <w:pPr>
              <w:jc w:val="center"/>
              <w:rPr>
                <w:sz w:val="18"/>
                <w:szCs w:val="18"/>
              </w:rPr>
            </w:pPr>
            <w:r>
              <w:rPr>
                <w:sz w:val="18"/>
                <w:szCs w:val="18"/>
              </w:rPr>
              <w:t>61.76</w:t>
            </w:r>
          </w:p>
        </w:tc>
        <w:tc>
          <w:tcPr>
            <w:tcW w:w="1870" w:type="dxa"/>
            <w:vAlign w:val="center"/>
          </w:tcPr>
          <w:p w14:paraId="5BFEA952" w14:textId="77777777" w:rsidR="00290EE2" w:rsidRDefault="00290EE2" w:rsidP="000C2FB1">
            <w:pPr>
              <w:jc w:val="center"/>
              <w:rPr>
                <w:sz w:val="18"/>
                <w:szCs w:val="18"/>
              </w:rPr>
            </w:pPr>
            <w:r>
              <w:rPr>
                <w:sz w:val="18"/>
                <w:szCs w:val="18"/>
              </w:rPr>
              <w:t>38.24</w:t>
            </w:r>
          </w:p>
        </w:tc>
      </w:tr>
      <w:tr w:rsidR="00290EE2" w14:paraId="321D263A" w14:textId="77777777" w:rsidTr="000C2FB1">
        <w:tc>
          <w:tcPr>
            <w:tcW w:w="2785" w:type="dxa"/>
            <w:vAlign w:val="center"/>
          </w:tcPr>
          <w:p w14:paraId="02BD5F56" w14:textId="77777777" w:rsidR="00290EE2" w:rsidRDefault="00290EE2" w:rsidP="000C2FB1">
            <w:pPr>
              <w:jc w:val="right"/>
              <w:rPr>
                <w:sz w:val="18"/>
              </w:rPr>
            </w:pPr>
            <w:r>
              <w:rPr>
                <w:sz w:val="18"/>
              </w:rPr>
              <w:t>7</w:t>
            </w:r>
            <w:r w:rsidRPr="00AF07AB">
              <w:rPr>
                <w:sz w:val="18"/>
                <w:vertAlign w:val="superscript"/>
              </w:rPr>
              <w:t>th</w:t>
            </w:r>
            <w:r>
              <w:rPr>
                <w:sz w:val="18"/>
              </w:rPr>
              <w:t xml:space="preserve"> Grade Math</w:t>
            </w:r>
          </w:p>
        </w:tc>
        <w:tc>
          <w:tcPr>
            <w:tcW w:w="955" w:type="dxa"/>
            <w:vAlign w:val="center"/>
          </w:tcPr>
          <w:p w14:paraId="35FF24A9" w14:textId="77777777" w:rsidR="00290EE2" w:rsidRDefault="00290EE2" w:rsidP="000C2FB1">
            <w:pPr>
              <w:jc w:val="center"/>
              <w:rPr>
                <w:sz w:val="18"/>
                <w:szCs w:val="18"/>
              </w:rPr>
            </w:pPr>
            <w:r>
              <w:rPr>
                <w:sz w:val="18"/>
                <w:szCs w:val="18"/>
              </w:rPr>
              <w:t>38</w:t>
            </w:r>
          </w:p>
        </w:tc>
        <w:tc>
          <w:tcPr>
            <w:tcW w:w="1870" w:type="dxa"/>
            <w:vAlign w:val="center"/>
          </w:tcPr>
          <w:p w14:paraId="182E26A4" w14:textId="77777777" w:rsidR="00290EE2" w:rsidRDefault="00290EE2" w:rsidP="000C2FB1">
            <w:pPr>
              <w:jc w:val="center"/>
              <w:rPr>
                <w:sz w:val="18"/>
                <w:szCs w:val="18"/>
              </w:rPr>
            </w:pPr>
            <w:r>
              <w:rPr>
                <w:sz w:val="18"/>
                <w:szCs w:val="18"/>
              </w:rPr>
              <w:t>539.47</w:t>
            </w:r>
          </w:p>
        </w:tc>
        <w:tc>
          <w:tcPr>
            <w:tcW w:w="1870" w:type="dxa"/>
            <w:vAlign w:val="center"/>
          </w:tcPr>
          <w:p w14:paraId="3D8D1162" w14:textId="77777777" w:rsidR="00290EE2" w:rsidRDefault="00290EE2" w:rsidP="000C2FB1">
            <w:pPr>
              <w:jc w:val="center"/>
              <w:rPr>
                <w:sz w:val="18"/>
                <w:szCs w:val="18"/>
              </w:rPr>
            </w:pPr>
            <w:r>
              <w:rPr>
                <w:sz w:val="18"/>
                <w:szCs w:val="18"/>
              </w:rPr>
              <w:t>84.21</w:t>
            </w:r>
          </w:p>
        </w:tc>
        <w:tc>
          <w:tcPr>
            <w:tcW w:w="1870" w:type="dxa"/>
            <w:vAlign w:val="center"/>
          </w:tcPr>
          <w:p w14:paraId="67E0B218" w14:textId="77777777" w:rsidR="00290EE2" w:rsidRDefault="00290EE2" w:rsidP="000C2FB1">
            <w:pPr>
              <w:jc w:val="center"/>
              <w:rPr>
                <w:sz w:val="18"/>
                <w:szCs w:val="18"/>
              </w:rPr>
            </w:pPr>
            <w:r>
              <w:rPr>
                <w:sz w:val="18"/>
                <w:szCs w:val="18"/>
              </w:rPr>
              <w:t>15.79</w:t>
            </w:r>
          </w:p>
        </w:tc>
      </w:tr>
      <w:tr w:rsidR="00290EE2" w14:paraId="079ED624" w14:textId="77777777" w:rsidTr="000C2FB1">
        <w:tc>
          <w:tcPr>
            <w:tcW w:w="2785" w:type="dxa"/>
            <w:vAlign w:val="center"/>
          </w:tcPr>
          <w:p w14:paraId="23503AF1" w14:textId="77777777" w:rsidR="00290EE2" w:rsidRDefault="00290EE2" w:rsidP="000C2FB1">
            <w:pPr>
              <w:jc w:val="right"/>
              <w:rPr>
                <w:sz w:val="18"/>
              </w:rPr>
            </w:pPr>
            <w:r>
              <w:rPr>
                <w:sz w:val="18"/>
              </w:rPr>
              <w:t>8</w:t>
            </w:r>
            <w:r w:rsidRPr="00AF07AB">
              <w:rPr>
                <w:sz w:val="18"/>
                <w:vertAlign w:val="superscript"/>
              </w:rPr>
              <w:t>th</w:t>
            </w:r>
            <w:r>
              <w:rPr>
                <w:sz w:val="18"/>
              </w:rPr>
              <w:t xml:space="preserve"> Grade Math</w:t>
            </w:r>
          </w:p>
        </w:tc>
        <w:tc>
          <w:tcPr>
            <w:tcW w:w="955" w:type="dxa"/>
            <w:vAlign w:val="center"/>
          </w:tcPr>
          <w:p w14:paraId="57F1E80C" w14:textId="77777777" w:rsidR="00290EE2" w:rsidRDefault="00290EE2" w:rsidP="000C2FB1">
            <w:pPr>
              <w:jc w:val="center"/>
              <w:rPr>
                <w:sz w:val="18"/>
                <w:szCs w:val="18"/>
              </w:rPr>
            </w:pPr>
            <w:r>
              <w:rPr>
                <w:sz w:val="18"/>
                <w:szCs w:val="18"/>
              </w:rPr>
              <w:t>30</w:t>
            </w:r>
          </w:p>
        </w:tc>
        <w:tc>
          <w:tcPr>
            <w:tcW w:w="1870" w:type="dxa"/>
            <w:vAlign w:val="center"/>
          </w:tcPr>
          <w:p w14:paraId="765FEC8C" w14:textId="77777777" w:rsidR="00290EE2" w:rsidRDefault="00290EE2" w:rsidP="000C2FB1">
            <w:pPr>
              <w:jc w:val="center"/>
              <w:rPr>
                <w:sz w:val="18"/>
                <w:szCs w:val="18"/>
              </w:rPr>
            </w:pPr>
            <w:r>
              <w:rPr>
                <w:sz w:val="18"/>
                <w:szCs w:val="18"/>
              </w:rPr>
              <w:t>534.47</w:t>
            </w:r>
          </w:p>
        </w:tc>
        <w:tc>
          <w:tcPr>
            <w:tcW w:w="1870" w:type="dxa"/>
            <w:vAlign w:val="center"/>
          </w:tcPr>
          <w:p w14:paraId="5902AF0B" w14:textId="77777777" w:rsidR="00290EE2" w:rsidRDefault="00290EE2" w:rsidP="000C2FB1">
            <w:pPr>
              <w:jc w:val="center"/>
              <w:rPr>
                <w:sz w:val="18"/>
                <w:szCs w:val="18"/>
              </w:rPr>
            </w:pPr>
            <w:r>
              <w:rPr>
                <w:sz w:val="18"/>
                <w:szCs w:val="18"/>
              </w:rPr>
              <w:t>83.33</w:t>
            </w:r>
          </w:p>
        </w:tc>
        <w:tc>
          <w:tcPr>
            <w:tcW w:w="1870" w:type="dxa"/>
            <w:vAlign w:val="center"/>
          </w:tcPr>
          <w:p w14:paraId="57022052" w14:textId="77777777" w:rsidR="00290EE2" w:rsidRDefault="00290EE2" w:rsidP="000C2FB1">
            <w:pPr>
              <w:jc w:val="center"/>
              <w:rPr>
                <w:sz w:val="18"/>
                <w:szCs w:val="18"/>
              </w:rPr>
            </w:pPr>
            <w:r>
              <w:rPr>
                <w:sz w:val="18"/>
                <w:szCs w:val="18"/>
              </w:rPr>
              <w:t>16.67</w:t>
            </w:r>
          </w:p>
        </w:tc>
      </w:tr>
      <w:tr w:rsidR="00290EE2" w14:paraId="18F718F0" w14:textId="77777777" w:rsidTr="000C2FB1">
        <w:tc>
          <w:tcPr>
            <w:tcW w:w="2785" w:type="dxa"/>
            <w:vAlign w:val="center"/>
          </w:tcPr>
          <w:p w14:paraId="7389C937" w14:textId="77777777" w:rsidR="00290EE2" w:rsidRDefault="00290EE2" w:rsidP="000C2FB1">
            <w:pPr>
              <w:jc w:val="right"/>
              <w:rPr>
                <w:sz w:val="18"/>
              </w:rPr>
            </w:pPr>
            <w:r>
              <w:rPr>
                <w:sz w:val="18"/>
              </w:rPr>
              <w:t>5</w:t>
            </w:r>
            <w:r w:rsidRPr="000F1F8B">
              <w:rPr>
                <w:sz w:val="18"/>
                <w:vertAlign w:val="superscript"/>
              </w:rPr>
              <w:t>th</w:t>
            </w:r>
            <w:r>
              <w:rPr>
                <w:sz w:val="18"/>
              </w:rPr>
              <w:t xml:space="preserve"> Grade Science</w:t>
            </w:r>
          </w:p>
        </w:tc>
        <w:tc>
          <w:tcPr>
            <w:tcW w:w="955" w:type="dxa"/>
            <w:vAlign w:val="center"/>
          </w:tcPr>
          <w:p w14:paraId="07F92E48" w14:textId="77777777" w:rsidR="00290EE2" w:rsidRDefault="00290EE2" w:rsidP="000C2FB1">
            <w:pPr>
              <w:jc w:val="center"/>
              <w:rPr>
                <w:sz w:val="18"/>
                <w:szCs w:val="18"/>
              </w:rPr>
            </w:pPr>
            <w:r>
              <w:rPr>
                <w:sz w:val="18"/>
                <w:szCs w:val="18"/>
              </w:rPr>
              <w:t>25</w:t>
            </w:r>
          </w:p>
        </w:tc>
        <w:tc>
          <w:tcPr>
            <w:tcW w:w="1870" w:type="dxa"/>
            <w:vAlign w:val="center"/>
          </w:tcPr>
          <w:p w14:paraId="7D7137D3" w14:textId="77777777" w:rsidR="00290EE2" w:rsidRDefault="00290EE2" w:rsidP="000C2FB1">
            <w:pPr>
              <w:jc w:val="center"/>
              <w:rPr>
                <w:sz w:val="18"/>
                <w:szCs w:val="18"/>
              </w:rPr>
            </w:pPr>
            <w:r>
              <w:rPr>
                <w:sz w:val="18"/>
                <w:szCs w:val="18"/>
              </w:rPr>
              <w:t>249.36</w:t>
            </w:r>
          </w:p>
        </w:tc>
        <w:tc>
          <w:tcPr>
            <w:tcW w:w="1870" w:type="dxa"/>
            <w:vAlign w:val="center"/>
          </w:tcPr>
          <w:p w14:paraId="7B779847" w14:textId="77777777" w:rsidR="00290EE2" w:rsidRDefault="00290EE2" w:rsidP="000C2FB1">
            <w:pPr>
              <w:jc w:val="center"/>
              <w:rPr>
                <w:sz w:val="18"/>
                <w:szCs w:val="18"/>
              </w:rPr>
            </w:pPr>
            <w:r>
              <w:rPr>
                <w:sz w:val="18"/>
                <w:szCs w:val="18"/>
              </w:rPr>
              <w:t>44.00</w:t>
            </w:r>
          </w:p>
        </w:tc>
        <w:tc>
          <w:tcPr>
            <w:tcW w:w="1870" w:type="dxa"/>
            <w:vAlign w:val="center"/>
          </w:tcPr>
          <w:p w14:paraId="3619DB19" w14:textId="77777777" w:rsidR="00290EE2" w:rsidRDefault="00290EE2" w:rsidP="000C2FB1">
            <w:pPr>
              <w:jc w:val="center"/>
              <w:rPr>
                <w:sz w:val="18"/>
                <w:szCs w:val="18"/>
              </w:rPr>
            </w:pPr>
            <w:r>
              <w:rPr>
                <w:sz w:val="18"/>
                <w:szCs w:val="18"/>
              </w:rPr>
              <w:t>56.00</w:t>
            </w:r>
          </w:p>
        </w:tc>
      </w:tr>
      <w:tr w:rsidR="00290EE2" w14:paraId="11CB8F67" w14:textId="77777777" w:rsidTr="000C2FB1">
        <w:tc>
          <w:tcPr>
            <w:tcW w:w="2785" w:type="dxa"/>
            <w:vAlign w:val="center"/>
          </w:tcPr>
          <w:p w14:paraId="5A847445" w14:textId="77777777" w:rsidR="00290EE2" w:rsidRDefault="00290EE2" w:rsidP="000C2FB1">
            <w:pPr>
              <w:jc w:val="right"/>
              <w:rPr>
                <w:sz w:val="18"/>
              </w:rPr>
            </w:pPr>
            <w:r>
              <w:rPr>
                <w:sz w:val="18"/>
              </w:rPr>
              <w:t>8</w:t>
            </w:r>
            <w:r w:rsidRPr="00AF07AB">
              <w:rPr>
                <w:sz w:val="18"/>
                <w:vertAlign w:val="superscript"/>
              </w:rPr>
              <w:t>th</w:t>
            </w:r>
            <w:r>
              <w:rPr>
                <w:sz w:val="18"/>
              </w:rPr>
              <w:t xml:space="preserve"> Grade Science</w:t>
            </w:r>
          </w:p>
        </w:tc>
        <w:tc>
          <w:tcPr>
            <w:tcW w:w="955" w:type="dxa"/>
            <w:vAlign w:val="center"/>
          </w:tcPr>
          <w:p w14:paraId="266D670A" w14:textId="77777777" w:rsidR="00290EE2" w:rsidRDefault="00290EE2" w:rsidP="000C2FB1">
            <w:pPr>
              <w:jc w:val="center"/>
              <w:rPr>
                <w:sz w:val="18"/>
                <w:szCs w:val="18"/>
              </w:rPr>
            </w:pPr>
            <w:r>
              <w:rPr>
                <w:sz w:val="18"/>
                <w:szCs w:val="18"/>
              </w:rPr>
              <w:t>30</w:t>
            </w:r>
          </w:p>
        </w:tc>
        <w:tc>
          <w:tcPr>
            <w:tcW w:w="1870" w:type="dxa"/>
            <w:vAlign w:val="center"/>
          </w:tcPr>
          <w:p w14:paraId="4E16BAA8" w14:textId="77777777" w:rsidR="00290EE2" w:rsidRDefault="00290EE2" w:rsidP="000C2FB1">
            <w:pPr>
              <w:jc w:val="center"/>
              <w:rPr>
                <w:sz w:val="18"/>
                <w:szCs w:val="18"/>
              </w:rPr>
            </w:pPr>
            <w:r>
              <w:rPr>
                <w:sz w:val="18"/>
                <w:szCs w:val="18"/>
              </w:rPr>
              <w:t>246.27</w:t>
            </w:r>
          </w:p>
        </w:tc>
        <w:tc>
          <w:tcPr>
            <w:tcW w:w="1870" w:type="dxa"/>
            <w:vAlign w:val="center"/>
          </w:tcPr>
          <w:p w14:paraId="59039892" w14:textId="77777777" w:rsidR="00290EE2" w:rsidRDefault="00290EE2" w:rsidP="000C2FB1">
            <w:pPr>
              <w:jc w:val="center"/>
              <w:rPr>
                <w:sz w:val="18"/>
                <w:szCs w:val="18"/>
              </w:rPr>
            </w:pPr>
            <w:r>
              <w:rPr>
                <w:sz w:val="18"/>
                <w:szCs w:val="18"/>
              </w:rPr>
              <w:t>43.33</w:t>
            </w:r>
          </w:p>
        </w:tc>
        <w:tc>
          <w:tcPr>
            <w:tcW w:w="1870" w:type="dxa"/>
            <w:vAlign w:val="center"/>
          </w:tcPr>
          <w:p w14:paraId="7A00F533" w14:textId="77777777" w:rsidR="00290EE2" w:rsidRDefault="00290EE2" w:rsidP="000C2FB1">
            <w:pPr>
              <w:jc w:val="center"/>
              <w:rPr>
                <w:sz w:val="18"/>
                <w:szCs w:val="18"/>
              </w:rPr>
            </w:pPr>
            <w:r>
              <w:rPr>
                <w:sz w:val="18"/>
                <w:szCs w:val="18"/>
              </w:rPr>
              <w:t>56.67</w:t>
            </w:r>
          </w:p>
        </w:tc>
      </w:tr>
      <w:tr w:rsidR="00290EE2" w14:paraId="17A55827" w14:textId="77777777" w:rsidTr="000C2FB1">
        <w:tc>
          <w:tcPr>
            <w:tcW w:w="9350" w:type="dxa"/>
            <w:gridSpan w:val="5"/>
            <w:vAlign w:val="center"/>
          </w:tcPr>
          <w:p w14:paraId="49492F38" w14:textId="77777777" w:rsidR="00290EE2" w:rsidRPr="00A80F8F" w:rsidRDefault="00290EE2" w:rsidP="000C2FB1">
            <w:pPr>
              <w:jc w:val="center"/>
              <w:rPr>
                <w:i/>
                <w:sz w:val="18"/>
                <w:szCs w:val="18"/>
              </w:rPr>
            </w:pPr>
            <w:r>
              <w:rPr>
                <w:i/>
                <w:sz w:val="18"/>
                <w:szCs w:val="18"/>
              </w:rPr>
              <w:t>All Other New Hanover County Students</w:t>
            </w:r>
          </w:p>
        </w:tc>
      </w:tr>
      <w:tr w:rsidR="00290EE2" w14:paraId="270ADB72" w14:textId="77777777" w:rsidTr="000C2FB1">
        <w:tc>
          <w:tcPr>
            <w:tcW w:w="2785" w:type="dxa"/>
            <w:vAlign w:val="center"/>
          </w:tcPr>
          <w:p w14:paraId="3D339DB8" w14:textId="77777777" w:rsidR="00290EE2" w:rsidRPr="00A80F8F" w:rsidRDefault="00290EE2" w:rsidP="000C2FB1">
            <w:pPr>
              <w:jc w:val="right"/>
              <w:rPr>
                <w:sz w:val="18"/>
              </w:rPr>
            </w:pPr>
            <w:r>
              <w:rPr>
                <w:sz w:val="18"/>
              </w:rPr>
              <w:t xml:space="preserve"> 3</w:t>
            </w:r>
            <w:r w:rsidRPr="00A80F8F">
              <w:rPr>
                <w:sz w:val="18"/>
                <w:vertAlign w:val="superscript"/>
              </w:rPr>
              <w:t>rd</w:t>
            </w:r>
            <w:r>
              <w:rPr>
                <w:sz w:val="18"/>
              </w:rPr>
              <w:t xml:space="preserve"> Grade Reading</w:t>
            </w:r>
          </w:p>
        </w:tc>
        <w:tc>
          <w:tcPr>
            <w:tcW w:w="955" w:type="dxa"/>
            <w:vAlign w:val="center"/>
          </w:tcPr>
          <w:p w14:paraId="0036759D" w14:textId="77777777" w:rsidR="00290EE2" w:rsidRPr="00A80F8F" w:rsidRDefault="00290EE2" w:rsidP="000C2FB1">
            <w:pPr>
              <w:jc w:val="center"/>
              <w:rPr>
                <w:sz w:val="18"/>
                <w:szCs w:val="18"/>
              </w:rPr>
            </w:pPr>
            <w:r>
              <w:rPr>
                <w:sz w:val="18"/>
                <w:szCs w:val="18"/>
              </w:rPr>
              <w:t>1,911</w:t>
            </w:r>
          </w:p>
        </w:tc>
        <w:tc>
          <w:tcPr>
            <w:tcW w:w="1870" w:type="dxa"/>
            <w:vAlign w:val="center"/>
          </w:tcPr>
          <w:p w14:paraId="444AAC60" w14:textId="77777777" w:rsidR="00290EE2" w:rsidRPr="00A80F8F" w:rsidRDefault="00290EE2" w:rsidP="000C2FB1">
            <w:pPr>
              <w:jc w:val="center"/>
              <w:rPr>
                <w:sz w:val="18"/>
                <w:szCs w:val="18"/>
              </w:rPr>
            </w:pPr>
            <w:r>
              <w:rPr>
                <w:sz w:val="18"/>
                <w:szCs w:val="18"/>
              </w:rPr>
              <w:t>439.80</w:t>
            </w:r>
          </w:p>
        </w:tc>
        <w:tc>
          <w:tcPr>
            <w:tcW w:w="1870" w:type="dxa"/>
            <w:vAlign w:val="center"/>
          </w:tcPr>
          <w:p w14:paraId="7FC3BC62" w14:textId="77777777" w:rsidR="00290EE2" w:rsidRPr="00A80F8F" w:rsidRDefault="00290EE2" w:rsidP="000C2FB1">
            <w:pPr>
              <w:jc w:val="center"/>
              <w:rPr>
                <w:sz w:val="18"/>
                <w:szCs w:val="18"/>
              </w:rPr>
            </w:pPr>
            <w:r>
              <w:rPr>
                <w:sz w:val="18"/>
                <w:szCs w:val="18"/>
              </w:rPr>
              <w:t>38.98</w:t>
            </w:r>
          </w:p>
        </w:tc>
        <w:tc>
          <w:tcPr>
            <w:tcW w:w="1870" w:type="dxa"/>
            <w:vAlign w:val="center"/>
          </w:tcPr>
          <w:p w14:paraId="131EFE34" w14:textId="77777777" w:rsidR="00290EE2" w:rsidRPr="00A80F8F" w:rsidRDefault="00290EE2" w:rsidP="000C2FB1">
            <w:pPr>
              <w:jc w:val="center"/>
              <w:rPr>
                <w:sz w:val="18"/>
                <w:szCs w:val="18"/>
              </w:rPr>
            </w:pPr>
            <w:r>
              <w:rPr>
                <w:sz w:val="18"/>
                <w:szCs w:val="18"/>
              </w:rPr>
              <w:t>61.02</w:t>
            </w:r>
          </w:p>
        </w:tc>
      </w:tr>
      <w:tr w:rsidR="00290EE2" w14:paraId="3D39C500" w14:textId="77777777" w:rsidTr="000C2FB1">
        <w:tc>
          <w:tcPr>
            <w:tcW w:w="2785" w:type="dxa"/>
            <w:vAlign w:val="center"/>
          </w:tcPr>
          <w:p w14:paraId="669173FC" w14:textId="77777777" w:rsidR="00290EE2" w:rsidRPr="00A80F8F" w:rsidRDefault="00290EE2" w:rsidP="000C2FB1">
            <w:pPr>
              <w:jc w:val="right"/>
              <w:rPr>
                <w:sz w:val="18"/>
              </w:rPr>
            </w:pPr>
            <w:r>
              <w:rPr>
                <w:sz w:val="18"/>
              </w:rPr>
              <w:t>4</w:t>
            </w:r>
            <w:r w:rsidRPr="00A80F8F">
              <w:rPr>
                <w:sz w:val="18"/>
                <w:vertAlign w:val="superscript"/>
              </w:rPr>
              <w:t>th</w:t>
            </w:r>
            <w:r>
              <w:rPr>
                <w:sz w:val="18"/>
              </w:rPr>
              <w:t xml:space="preserve"> Grade Reading</w:t>
            </w:r>
          </w:p>
        </w:tc>
        <w:tc>
          <w:tcPr>
            <w:tcW w:w="955" w:type="dxa"/>
            <w:vAlign w:val="center"/>
          </w:tcPr>
          <w:p w14:paraId="751B8700" w14:textId="77777777" w:rsidR="00290EE2" w:rsidRPr="00A80F8F" w:rsidRDefault="00290EE2" w:rsidP="000C2FB1">
            <w:pPr>
              <w:jc w:val="center"/>
              <w:rPr>
                <w:sz w:val="18"/>
                <w:szCs w:val="18"/>
              </w:rPr>
            </w:pPr>
            <w:r>
              <w:rPr>
                <w:sz w:val="18"/>
                <w:szCs w:val="18"/>
              </w:rPr>
              <w:t>2,029</w:t>
            </w:r>
          </w:p>
        </w:tc>
        <w:tc>
          <w:tcPr>
            <w:tcW w:w="1870" w:type="dxa"/>
            <w:vAlign w:val="center"/>
          </w:tcPr>
          <w:p w14:paraId="3C16FFE4" w14:textId="77777777" w:rsidR="00290EE2" w:rsidRPr="00A80F8F" w:rsidRDefault="00290EE2" w:rsidP="000C2FB1">
            <w:pPr>
              <w:jc w:val="center"/>
              <w:rPr>
                <w:sz w:val="18"/>
                <w:szCs w:val="18"/>
              </w:rPr>
            </w:pPr>
            <w:r>
              <w:rPr>
                <w:sz w:val="18"/>
                <w:szCs w:val="18"/>
              </w:rPr>
              <w:t>446.23</w:t>
            </w:r>
          </w:p>
        </w:tc>
        <w:tc>
          <w:tcPr>
            <w:tcW w:w="1870" w:type="dxa"/>
            <w:vAlign w:val="center"/>
          </w:tcPr>
          <w:p w14:paraId="59638F17" w14:textId="77777777" w:rsidR="00290EE2" w:rsidRPr="00A80F8F" w:rsidRDefault="00290EE2" w:rsidP="000C2FB1">
            <w:pPr>
              <w:jc w:val="center"/>
              <w:rPr>
                <w:sz w:val="18"/>
                <w:szCs w:val="18"/>
              </w:rPr>
            </w:pPr>
            <w:r>
              <w:rPr>
                <w:sz w:val="18"/>
                <w:szCs w:val="18"/>
              </w:rPr>
              <w:t>36.52</w:t>
            </w:r>
          </w:p>
        </w:tc>
        <w:tc>
          <w:tcPr>
            <w:tcW w:w="1870" w:type="dxa"/>
            <w:vAlign w:val="center"/>
          </w:tcPr>
          <w:p w14:paraId="5B754736" w14:textId="77777777" w:rsidR="00290EE2" w:rsidRPr="00A80F8F" w:rsidRDefault="00290EE2" w:rsidP="000C2FB1">
            <w:pPr>
              <w:jc w:val="center"/>
              <w:rPr>
                <w:sz w:val="18"/>
                <w:szCs w:val="18"/>
              </w:rPr>
            </w:pPr>
            <w:r>
              <w:rPr>
                <w:sz w:val="18"/>
                <w:szCs w:val="18"/>
              </w:rPr>
              <w:t>63.48</w:t>
            </w:r>
          </w:p>
        </w:tc>
      </w:tr>
      <w:tr w:rsidR="00290EE2" w14:paraId="06EE213A" w14:textId="77777777" w:rsidTr="000C2FB1">
        <w:tc>
          <w:tcPr>
            <w:tcW w:w="2785" w:type="dxa"/>
            <w:vAlign w:val="center"/>
          </w:tcPr>
          <w:p w14:paraId="6C47576E" w14:textId="77777777" w:rsidR="00290EE2" w:rsidRDefault="00290EE2" w:rsidP="000C2FB1">
            <w:pPr>
              <w:jc w:val="right"/>
              <w:rPr>
                <w:sz w:val="18"/>
              </w:rPr>
            </w:pPr>
            <w:r>
              <w:rPr>
                <w:sz w:val="18"/>
              </w:rPr>
              <w:t>5</w:t>
            </w:r>
            <w:r w:rsidRPr="000F1F8B">
              <w:rPr>
                <w:sz w:val="18"/>
                <w:vertAlign w:val="superscript"/>
              </w:rPr>
              <w:t>th</w:t>
            </w:r>
            <w:r>
              <w:rPr>
                <w:sz w:val="18"/>
              </w:rPr>
              <w:t xml:space="preserve"> Grade Reading</w:t>
            </w:r>
          </w:p>
        </w:tc>
        <w:tc>
          <w:tcPr>
            <w:tcW w:w="955" w:type="dxa"/>
            <w:vAlign w:val="center"/>
          </w:tcPr>
          <w:p w14:paraId="07F20D47" w14:textId="77777777" w:rsidR="00290EE2" w:rsidRPr="00A80F8F" w:rsidRDefault="00290EE2" w:rsidP="000C2FB1">
            <w:pPr>
              <w:jc w:val="center"/>
              <w:rPr>
                <w:sz w:val="18"/>
                <w:szCs w:val="18"/>
              </w:rPr>
            </w:pPr>
            <w:r>
              <w:rPr>
                <w:sz w:val="18"/>
                <w:szCs w:val="18"/>
              </w:rPr>
              <w:t>2,008</w:t>
            </w:r>
          </w:p>
        </w:tc>
        <w:tc>
          <w:tcPr>
            <w:tcW w:w="1870" w:type="dxa"/>
            <w:vAlign w:val="center"/>
          </w:tcPr>
          <w:p w14:paraId="6BF40913" w14:textId="77777777" w:rsidR="00290EE2" w:rsidRPr="00A80F8F" w:rsidRDefault="00290EE2" w:rsidP="000C2FB1">
            <w:pPr>
              <w:jc w:val="center"/>
              <w:rPr>
                <w:sz w:val="18"/>
                <w:szCs w:val="18"/>
              </w:rPr>
            </w:pPr>
            <w:r>
              <w:rPr>
                <w:sz w:val="18"/>
                <w:szCs w:val="18"/>
              </w:rPr>
              <w:t>450.92</w:t>
            </w:r>
          </w:p>
        </w:tc>
        <w:tc>
          <w:tcPr>
            <w:tcW w:w="1870" w:type="dxa"/>
            <w:vAlign w:val="center"/>
          </w:tcPr>
          <w:p w14:paraId="0C0D0528" w14:textId="77777777" w:rsidR="00290EE2" w:rsidRPr="00A80F8F" w:rsidRDefault="00290EE2" w:rsidP="000C2FB1">
            <w:pPr>
              <w:jc w:val="center"/>
              <w:rPr>
                <w:sz w:val="18"/>
                <w:szCs w:val="18"/>
              </w:rPr>
            </w:pPr>
            <w:r>
              <w:rPr>
                <w:sz w:val="18"/>
                <w:szCs w:val="18"/>
              </w:rPr>
              <w:t>36.06</w:t>
            </w:r>
          </w:p>
        </w:tc>
        <w:tc>
          <w:tcPr>
            <w:tcW w:w="1870" w:type="dxa"/>
            <w:vAlign w:val="center"/>
          </w:tcPr>
          <w:p w14:paraId="6A8B8EB2" w14:textId="77777777" w:rsidR="00290EE2" w:rsidRPr="00A80F8F" w:rsidRDefault="00290EE2" w:rsidP="000C2FB1">
            <w:pPr>
              <w:jc w:val="center"/>
              <w:rPr>
                <w:sz w:val="18"/>
                <w:szCs w:val="18"/>
              </w:rPr>
            </w:pPr>
            <w:r>
              <w:rPr>
                <w:sz w:val="18"/>
                <w:szCs w:val="18"/>
              </w:rPr>
              <w:t>63.94</w:t>
            </w:r>
          </w:p>
        </w:tc>
      </w:tr>
      <w:tr w:rsidR="00290EE2" w14:paraId="23A35477" w14:textId="77777777" w:rsidTr="000C2FB1">
        <w:tc>
          <w:tcPr>
            <w:tcW w:w="2785" w:type="dxa"/>
            <w:vAlign w:val="center"/>
          </w:tcPr>
          <w:p w14:paraId="787D6A62" w14:textId="77777777" w:rsidR="00290EE2" w:rsidRPr="00A80F8F" w:rsidRDefault="00290EE2" w:rsidP="000C2FB1">
            <w:pPr>
              <w:jc w:val="right"/>
              <w:rPr>
                <w:sz w:val="18"/>
              </w:rPr>
            </w:pPr>
            <w:r>
              <w:rPr>
                <w:sz w:val="18"/>
              </w:rPr>
              <w:t>6</w:t>
            </w:r>
            <w:r w:rsidRPr="00AF07AB">
              <w:rPr>
                <w:sz w:val="18"/>
                <w:vertAlign w:val="superscript"/>
              </w:rPr>
              <w:t>th</w:t>
            </w:r>
            <w:r>
              <w:rPr>
                <w:sz w:val="18"/>
              </w:rPr>
              <w:t xml:space="preserve"> Grade Reading</w:t>
            </w:r>
          </w:p>
        </w:tc>
        <w:tc>
          <w:tcPr>
            <w:tcW w:w="955" w:type="dxa"/>
            <w:vAlign w:val="center"/>
          </w:tcPr>
          <w:p w14:paraId="7E673A44" w14:textId="77777777" w:rsidR="00290EE2" w:rsidRPr="00A80F8F" w:rsidRDefault="00290EE2" w:rsidP="000C2FB1">
            <w:pPr>
              <w:jc w:val="center"/>
              <w:rPr>
                <w:sz w:val="18"/>
                <w:szCs w:val="18"/>
              </w:rPr>
            </w:pPr>
            <w:r>
              <w:rPr>
                <w:sz w:val="18"/>
                <w:szCs w:val="18"/>
              </w:rPr>
              <w:t>2,031</w:t>
            </w:r>
          </w:p>
        </w:tc>
        <w:tc>
          <w:tcPr>
            <w:tcW w:w="1870" w:type="dxa"/>
            <w:vAlign w:val="center"/>
          </w:tcPr>
          <w:p w14:paraId="59334EE5" w14:textId="77777777" w:rsidR="00290EE2" w:rsidRPr="00A80F8F" w:rsidRDefault="00290EE2" w:rsidP="000C2FB1">
            <w:pPr>
              <w:jc w:val="center"/>
              <w:rPr>
                <w:sz w:val="18"/>
                <w:szCs w:val="18"/>
              </w:rPr>
            </w:pPr>
            <w:r>
              <w:rPr>
                <w:sz w:val="18"/>
                <w:szCs w:val="18"/>
              </w:rPr>
              <w:t>453.70</w:t>
            </w:r>
          </w:p>
        </w:tc>
        <w:tc>
          <w:tcPr>
            <w:tcW w:w="1870" w:type="dxa"/>
            <w:vAlign w:val="center"/>
          </w:tcPr>
          <w:p w14:paraId="20667B57" w14:textId="77777777" w:rsidR="00290EE2" w:rsidRPr="00A80F8F" w:rsidRDefault="00290EE2" w:rsidP="000C2FB1">
            <w:pPr>
              <w:jc w:val="center"/>
              <w:rPr>
                <w:sz w:val="18"/>
                <w:szCs w:val="18"/>
              </w:rPr>
            </w:pPr>
            <w:r>
              <w:rPr>
                <w:sz w:val="18"/>
                <w:szCs w:val="18"/>
              </w:rPr>
              <w:t>34.56</w:t>
            </w:r>
          </w:p>
        </w:tc>
        <w:tc>
          <w:tcPr>
            <w:tcW w:w="1870" w:type="dxa"/>
            <w:vAlign w:val="center"/>
          </w:tcPr>
          <w:p w14:paraId="16966B69" w14:textId="77777777" w:rsidR="00290EE2" w:rsidRPr="00A80F8F" w:rsidRDefault="00290EE2" w:rsidP="000C2FB1">
            <w:pPr>
              <w:jc w:val="center"/>
              <w:rPr>
                <w:sz w:val="18"/>
                <w:szCs w:val="18"/>
              </w:rPr>
            </w:pPr>
            <w:r>
              <w:rPr>
                <w:sz w:val="18"/>
                <w:szCs w:val="18"/>
              </w:rPr>
              <w:t>65.44</w:t>
            </w:r>
          </w:p>
        </w:tc>
      </w:tr>
      <w:tr w:rsidR="00290EE2" w14:paraId="639471D2" w14:textId="77777777" w:rsidTr="000C2FB1">
        <w:tc>
          <w:tcPr>
            <w:tcW w:w="2785" w:type="dxa"/>
            <w:vAlign w:val="center"/>
          </w:tcPr>
          <w:p w14:paraId="4BEC3159" w14:textId="77777777" w:rsidR="00290EE2" w:rsidRPr="00A80F8F" w:rsidRDefault="00290EE2" w:rsidP="000C2FB1">
            <w:pPr>
              <w:jc w:val="right"/>
              <w:rPr>
                <w:sz w:val="18"/>
              </w:rPr>
            </w:pPr>
            <w:r>
              <w:rPr>
                <w:sz w:val="18"/>
              </w:rPr>
              <w:t>7</w:t>
            </w:r>
            <w:r w:rsidRPr="00AF07AB">
              <w:rPr>
                <w:sz w:val="18"/>
                <w:vertAlign w:val="superscript"/>
              </w:rPr>
              <w:t>th</w:t>
            </w:r>
            <w:r>
              <w:rPr>
                <w:sz w:val="18"/>
              </w:rPr>
              <w:t xml:space="preserve"> Grade Reading</w:t>
            </w:r>
          </w:p>
        </w:tc>
        <w:tc>
          <w:tcPr>
            <w:tcW w:w="955" w:type="dxa"/>
            <w:vAlign w:val="center"/>
          </w:tcPr>
          <w:p w14:paraId="3F2DEE30" w14:textId="77777777" w:rsidR="00290EE2" w:rsidRPr="00A80F8F" w:rsidRDefault="00290EE2" w:rsidP="000C2FB1">
            <w:pPr>
              <w:jc w:val="center"/>
              <w:rPr>
                <w:sz w:val="18"/>
                <w:szCs w:val="18"/>
              </w:rPr>
            </w:pPr>
            <w:r>
              <w:rPr>
                <w:sz w:val="18"/>
                <w:szCs w:val="18"/>
              </w:rPr>
              <w:t>1,825</w:t>
            </w:r>
          </w:p>
        </w:tc>
        <w:tc>
          <w:tcPr>
            <w:tcW w:w="1870" w:type="dxa"/>
            <w:vAlign w:val="center"/>
          </w:tcPr>
          <w:p w14:paraId="60176C85" w14:textId="77777777" w:rsidR="00290EE2" w:rsidRPr="00A80F8F" w:rsidRDefault="00290EE2" w:rsidP="000C2FB1">
            <w:pPr>
              <w:jc w:val="center"/>
              <w:rPr>
                <w:sz w:val="18"/>
                <w:szCs w:val="18"/>
              </w:rPr>
            </w:pPr>
            <w:r>
              <w:rPr>
                <w:sz w:val="18"/>
                <w:szCs w:val="18"/>
              </w:rPr>
              <w:t>456.24</w:t>
            </w:r>
          </w:p>
        </w:tc>
        <w:tc>
          <w:tcPr>
            <w:tcW w:w="1870" w:type="dxa"/>
            <w:vAlign w:val="center"/>
          </w:tcPr>
          <w:p w14:paraId="7DAB1649" w14:textId="77777777" w:rsidR="00290EE2" w:rsidRPr="00A80F8F" w:rsidRDefault="00290EE2" w:rsidP="000C2FB1">
            <w:pPr>
              <w:jc w:val="center"/>
              <w:rPr>
                <w:sz w:val="18"/>
                <w:szCs w:val="18"/>
              </w:rPr>
            </w:pPr>
            <w:r>
              <w:rPr>
                <w:sz w:val="18"/>
                <w:szCs w:val="18"/>
              </w:rPr>
              <w:t>33.97</w:t>
            </w:r>
          </w:p>
        </w:tc>
        <w:tc>
          <w:tcPr>
            <w:tcW w:w="1870" w:type="dxa"/>
            <w:vAlign w:val="center"/>
          </w:tcPr>
          <w:p w14:paraId="2782E4E8" w14:textId="77777777" w:rsidR="00290EE2" w:rsidRPr="00A80F8F" w:rsidRDefault="00290EE2" w:rsidP="000C2FB1">
            <w:pPr>
              <w:jc w:val="center"/>
              <w:rPr>
                <w:sz w:val="18"/>
                <w:szCs w:val="18"/>
              </w:rPr>
            </w:pPr>
            <w:r>
              <w:rPr>
                <w:sz w:val="18"/>
                <w:szCs w:val="18"/>
              </w:rPr>
              <w:t>66.03</w:t>
            </w:r>
          </w:p>
        </w:tc>
      </w:tr>
      <w:tr w:rsidR="00290EE2" w14:paraId="13D35CA8" w14:textId="77777777" w:rsidTr="000C2FB1">
        <w:tc>
          <w:tcPr>
            <w:tcW w:w="2785" w:type="dxa"/>
            <w:vAlign w:val="center"/>
          </w:tcPr>
          <w:p w14:paraId="50DF6173" w14:textId="77777777" w:rsidR="00290EE2" w:rsidRDefault="00290EE2" w:rsidP="000C2FB1">
            <w:pPr>
              <w:jc w:val="right"/>
              <w:rPr>
                <w:sz w:val="18"/>
              </w:rPr>
            </w:pPr>
            <w:r>
              <w:rPr>
                <w:sz w:val="18"/>
              </w:rPr>
              <w:t>8</w:t>
            </w:r>
            <w:r w:rsidRPr="00AF07AB">
              <w:rPr>
                <w:sz w:val="18"/>
                <w:vertAlign w:val="superscript"/>
              </w:rPr>
              <w:t>th</w:t>
            </w:r>
            <w:r>
              <w:rPr>
                <w:sz w:val="18"/>
              </w:rPr>
              <w:t xml:space="preserve"> Grade Reading</w:t>
            </w:r>
          </w:p>
        </w:tc>
        <w:tc>
          <w:tcPr>
            <w:tcW w:w="955" w:type="dxa"/>
            <w:vAlign w:val="center"/>
          </w:tcPr>
          <w:p w14:paraId="24AA62A7" w14:textId="77777777" w:rsidR="00290EE2" w:rsidRPr="00A80F8F" w:rsidRDefault="00290EE2" w:rsidP="000C2FB1">
            <w:pPr>
              <w:jc w:val="center"/>
              <w:rPr>
                <w:sz w:val="18"/>
                <w:szCs w:val="18"/>
              </w:rPr>
            </w:pPr>
            <w:r>
              <w:rPr>
                <w:sz w:val="18"/>
                <w:szCs w:val="18"/>
              </w:rPr>
              <w:t>1,895</w:t>
            </w:r>
          </w:p>
        </w:tc>
        <w:tc>
          <w:tcPr>
            <w:tcW w:w="1870" w:type="dxa"/>
            <w:vAlign w:val="center"/>
          </w:tcPr>
          <w:p w14:paraId="37976D65" w14:textId="77777777" w:rsidR="00290EE2" w:rsidRPr="00A80F8F" w:rsidRDefault="00290EE2" w:rsidP="000C2FB1">
            <w:pPr>
              <w:jc w:val="center"/>
              <w:rPr>
                <w:sz w:val="18"/>
                <w:szCs w:val="18"/>
              </w:rPr>
            </w:pPr>
            <w:r>
              <w:rPr>
                <w:sz w:val="18"/>
                <w:szCs w:val="18"/>
              </w:rPr>
              <w:t>459.40</w:t>
            </w:r>
          </w:p>
        </w:tc>
        <w:tc>
          <w:tcPr>
            <w:tcW w:w="1870" w:type="dxa"/>
            <w:vAlign w:val="center"/>
          </w:tcPr>
          <w:p w14:paraId="474C9588" w14:textId="77777777" w:rsidR="00290EE2" w:rsidRPr="00A80F8F" w:rsidRDefault="00290EE2" w:rsidP="000C2FB1">
            <w:pPr>
              <w:jc w:val="center"/>
              <w:rPr>
                <w:sz w:val="18"/>
                <w:szCs w:val="18"/>
              </w:rPr>
            </w:pPr>
            <w:r>
              <w:rPr>
                <w:sz w:val="18"/>
                <w:szCs w:val="18"/>
              </w:rPr>
              <w:t>39.37</w:t>
            </w:r>
          </w:p>
        </w:tc>
        <w:tc>
          <w:tcPr>
            <w:tcW w:w="1870" w:type="dxa"/>
            <w:vAlign w:val="center"/>
          </w:tcPr>
          <w:p w14:paraId="60115414" w14:textId="77777777" w:rsidR="00290EE2" w:rsidRPr="00A80F8F" w:rsidRDefault="00290EE2" w:rsidP="000C2FB1">
            <w:pPr>
              <w:jc w:val="center"/>
              <w:rPr>
                <w:sz w:val="18"/>
                <w:szCs w:val="18"/>
              </w:rPr>
            </w:pPr>
            <w:r>
              <w:rPr>
                <w:sz w:val="18"/>
                <w:szCs w:val="18"/>
              </w:rPr>
              <w:t>60.63</w:t>
            </w:r>
          </w:p>
        </w:tc>
      </w:tr>
      <w:tr w:rsidR="00290EE2" w14:paraId="57A78EF4" w14:textId="77777777" w:rsidTr="000C2FB1">
        <w:tc>
          <w:tcPr>
            <w:tcW w:w="2785" w:type="dxa"/>
            <w:vAlign w:val="center"/>
          </w:tcPr>
          <w:p w14:paraId="2E966742" w14:textId="77777777" w:rsidR="00290EE2" w:rsidRDefault="00290EE2" w:rsidP="000C2FB1">
            <w:pPr>
              <w:jc w:val="right"/>
              <w:rPr>
                <w:sz w:val="18"/>
              </w:rPr>
            </w:pPr>
            <w:r>
              <w:rPr>
                <w:sz w:val="18"/>
              </w:rPr>
              <w:t>3</w:t>
            </w:r>
            <w:r w:rsidRPr="00A80F8F">
              <w:rPr>
                <w:sz w:val="18"/>
                <w:vertAlign w:val="superscript"/>
              </w:rPr>
              <w:t>rd</w:t>
            </w:r>
            <w:r>
              <w:rPr>
                <w:sz w:val="18"/>
              </w:rPr>
              <w:t xml:space="preserve"> Grade Math</w:t>
            </w:r>
          </w:p>
        </w:tc>
        <w:tc>
          <w:tcPr>
            <w:tcW w:w="955" w:type="dxa"/>
            <w:vAlign w:val="center"/>
          </w:tcPr>
          <w:p w14:paraId="5B041ABA" w14:textId="77777777" w:rsidR="00290EE2" w:rsidRPr="00A80F8F" w:rsidRDefault="00290EE2" w:rsidP="000C2FB1">
            <w:pPr>
              <w:jc w:val="center"/>
              <w:rPr>
                <w:sz w:val="18"/>
                <w:szCs w:val="18"/>
              </w:rPr>
            </w:pPr>
            <w:r>
              <w:rPr>
                <w:sz w:val="18"/>
                <w:szCs w:val="18"/>
              </w:rPr>
              <w:t>1,911</w:t>
            </w:r>
          </w:p>
        </w:tc>
        <w:tc>
          <w:tcPr>
            <w:tcW w:w="1870" w:type="dxa"/>
            <w:vAlign w:val="center"/>
          </w:tcPr>
          <w:p w14:paraId="478243E9" w14:textId="77777777" w:rsidR="00290EE2" w:rsidRPr="00A80F8F" w:rsidRDefault="00290EE2" w:rsidP="000C2FB1">
            <w:pPr>
              <w:jc w:val="center"/>
              <w:rPr>
                <w:sz w:val="18"/>
                <w:szCs w:val="18"/>
              </w:rPr>
            </w:pPr>
            <w:r>
              <w:rPr>
                <w:sz w:val="18"/>
                <w:szCs w:val="18"/>
              </w:rPr>
              <w:t>550.22</w:t>
            </w:r>
          </w:p>
        </w:tc>
        <w:tc>
          <w:tcPr>
            <w:tcW w:w="1870" w:type="dxa"/>
            <w:vAlign w:val="center"/>
          </w:tcPr>
          <w:p w14:paraId="6B742286" w14:textId="77777777" w:rsidR="00290EE2" w:rsidRPr="00A80F8F" w:rsidRDefault="00290EE2" w:rsidP="000C2FB1">
            <w:pPr>
              <w:jc w:val="center"/>
              <w:rPr>
                <w:sz w:val="18"/>
                <w:szCs w:val="18"/>
              </w:rPr>
            </w:pPr>
            <w:r>
              <w:rPr>
                <w:sz w:val="18"/>
                <w:szCs w:val="18"/>
              </w:rPr>
              <w:t>30.61</w:t>
            </w:r>
          </w:p>
        </w:tc>
        <w:tc>
          <w:tcPr>
            <w:tcW w:w="1870" w:type="dxa"/>
            <w:vAlign w:val="center"/>
          </w:tcPr>
          <w:p w14:paraId="615D698F" w14:textId="77777777" w:rsidR="00290EE2" w:rsidRPr="00A80F8F" w:rsidRDefault="00290EE2" w:rsidP="000C2FB1">
            <w:pPr>
              <w:jc w:val="center"/>
              <w:rPr>
                <w:sz w:val="18"/>
                <w:szCs w:val="18"/>
              </w:rPr>
            </w:pPr>
            <w:r>
              <w:rPr>
                <w:sz w:val="18"/>
                <w:szCs w:val="18"/>
              </w:rPr>
              <w:t>69.39</w:t>
            </w:r>
          </w:p>
        </w:tc>
      </w:tr>
      <w:tr w:rsidR="00290EE2" w14:paraId="7D790E67" w14:textId="77777777" w:rsidTr="000C2FB1">
        <w:tc>
          <w:tcPr>
            <w:tcW w:w="2785" w:type="dxa"/>
            <w:vAlign w:val="center"/>
          </w:tcPr>
          <w:p w14:paraId="52241815" w14:textId="77777777" w:rsidR="00290EE2" w:rsidRDefault="00290EE2" w:rsidP="000C2FB1">
            <w:pPr>
              <w:jc w:val="right"/>
              <w:rPr>
                <w:sz w:val="18"/>
              </w:rPr>
            </w:pPr>
            <w:r>
              <w:rPr>
                <w:sz w:val="18"/>
              </w:rPr>
              <w:t>4</w:t>
            </w:r>
            <w:r w:rsidRPr="00A80F8F">
              <w:rPr>
                <w:sz w:val="18"/>
                <w:vertAlign w:val="superscript"/>
              </w:rPr>
              <w:t>th</w:t>
            </w:r>
            <w:r>
              <w:rPr>
                <w:sz w:val="18"/>
              </w:rPr>
              <w:t xml:space="preserve"> Grade Math</w:t>
            </w:r>
          </w:p>
        </w:tc>
        <w:tc>
          <w:tcPr>
            <w:tcW w:w="955" w:type="dxa"/>
            <w:vAlign w:val="center"/>
          </w:tcPr>
          <w:p w14:paraId="4DBCB79E" w14:textId="77777777" w:rsidR="00290EE2" w:rsidRPr="00A80F8F" w:rsidRDefault="00290EE2" w:rsidP="000C2FB1">
            <w:pPr>
              <w:jc w:val="center"/>
              <w:rPr>
                <w:sz w:val="18"/>
                <w:szCs w:val="18"/>
              </w:rPr>
            </w:pPr>
            <w:r>
              <w:rPr>
                <w:sz w:val="18"/>
                <w:szCs w:val="18"/>
              </w:rPr>
              <w:t>2,029</w:t>
            </w:r>
          </w:p>
        </w:tc>
        <w:tc>
          <w:tcPr>
            <w:tcW w:w="1870" w:type="dxa"/>
            <w:vAlign w:val="center"/>
          </w:tcPr>
          <w:p w14:paraId="5BDD0801" w14:textId="77777777" w:rsidR="00290EE2" w:rsidRPr="00A80F8F" w:rsidRDefault="00290EE2" w:rsidP="000C2FB1">
            <w:pPr>
              <w:jc w:val="center"/>
              <w:rPr>
                <w:sz w:val="18"/>
                <w:szCs w:val="18"/>
              </w:rPr>
            </w:pPr>
            <w:r>
              <w:rPr>
                <w:sz w:val="18"/>
                <w:szCs w:val="18"/>
              </w:rPr>
              <w:t>549.67</w:t>
            </w:r>
          </w:p>
        </w:tc>
        <w:tc>
          <w:tcPr>
            <w:tcW w:w="1870" w:type="dxa"/>
            <w:vAlign w:val="center"/>
          </w:tcPr>
          <w:p w14:paraId="498905E0" w14:textId="77777777" w:rsidR="00290EE2" w:rsidRPr="00A80F8F" w:rsidRDefault="00290EE2" w:rsidP="000C2FB1">
            <w:pPr>
              <w:jc w:val="center"/>
              <w:rPr>
                <w:sz w:val="18"/>
                <w:szCs w:val="18"/>
              </w:rPr>
            </w:pPr>
            <w:r>
              <w:rPr>
                <w:sz w:val="18"/>
                <w:szCs w:val="18"/>
              </w:rPr>
              <w:t>36.42</w:t>
            </w:r>
          </w:p>
        </w:tc>
        <w:tc>
          <w:tcPr>
            <w:tcW w:w="1870" w:type="dxa"/>
            <w:vAlign w:val="center"/>
          </w:tcPr>
          <w:p w14:paraId="28B3315A" w14:textId="77777777" w:rsidR="00290EE2" w:rsidRPr="00A80F8F" w:rsidRDefault="00290EE2" w:rsidP="000C2FB1">
            <w:pPr>
              <w:jc w:val="center"/>
              <w:rPr>
                <w:sz w:val="18"/>
                <w:szCs w:val="18"/>
              </w:rPr>
            </w:pPr>
            <w:r>
              <w:rPr>
                <w:sz w:val="18"/>
                <w:szCs w:val="18"/>
              </w:rPr>
              <w:t>63.58</w:t>
            </w:r>
          </w:p>
        </w:tc>
      </w:tr>
      <w:tr w:rsidR="00290EE2" w14:paraId="4365045A" w14:textId="77777777" w:rsidTr="000C2FB1">
        <w:tc>
          <w:tcPr>
            <w:tcW w:w="2785" w:type="dxa"/>
            <w:vAlign w:val="center"/>
          </w:tcPr>
          <w:p w14:paraId="282A74EA" w14:textId="77777777" w:rsidR="00290EE2" w:rsidRDefault="00290EE2" w:rsidP="000C2FB1">
            <w:pPr>
              <w:jc w:val="right"/>
              <w:rPr>
                <w:sz w:val="18"/>
              </w:rPr>
            </w:pPr>
            <w:r>
              <w:rPr>
                <w:sz w:val="18"/>
              </w:rPr>
              <w:t>5</w:t>
            </w:r>
            <w:r w:rsidRPr="000F1F8B">
              <w:rPr>
                <w:sz w:val="18"/>
                <w:vertAlign w:val="superscript"/>
              </w:rPr>
              <w:t>th</w:t>
            </w:r>
            <w:r>
              <w:rPr>
                <w:sz w:val="18"/>
              </w:rPr>
              <w:t xml:space="preserve"> Grade Math</w:t>
            </w:r>
          </w:p>
        </w:tc>
        <w:tc>
          <w:tcPr>
            <w:tcW w:w="955" w:type="dxa"/>
            <w:vAlign w:val="center"/>
          </w:tcPr>
          <w:p w14:paraId="7FD3F345" w14:textId="77777777" w:rsidR="00290EE2" w:rsidRPr="00A80F8F" w:rsidRDefault="00290EE2" w:rsidP="000C2FB1">
            <w:pPr>
              <w:jc w:val="center"/>
              <w:rPr>
                <w:sz w:val="18"/>
                <w:szCs w:val="18"/>
              </w:rPr>
            </w:pPr>
            <w:r>
              <w:rPr>
                <w:sz w:val="18"/>
                <w:szCs w:val="18"/>
              </w:rPr>
              <w:t>2,006</w:t>
            </w:r>
          </w:p>
        </w:tc>
        <w:tc>
          <w:tcPr>
            <w:tcW w:w="1870" w:type="dxa"/>
            <w:vAlign w:val="center"/>
          </w:tcPr>
          <w:p w14:paraId="01289C1A" w14:textId="77777777" w:rsidR="00290EE2" w:rsidRPr="00A80F8F" w:rsidRDefault="00290EE2" w:rsidP="000C2FB1">
            <w:pPr>
              <w:jc w:val="center"/>
              <w:rPr>
                <w:sz w:val="18"/>
                <w:szCs w:val="18"/>
              </w:rPr>
            </w:pPr>
            <w:r>
              <w:rPr>
                <w:sz w:val="18"/>
                <w:szCs w:val="18"/>
              </w:rPr>
              <w:t>549.69</w:t>
            </w:r>
          </w:p>
        </w:tc>
        <w:tc>
          <w:tcPr>
            <w:tcW w:w="1870" w:type="dxa"/>
            <w:vAlign w:val="center"/>
          </w:tcPr>
          <w:p w14:paraId="0DF932A4" w14:textId="77777777" w:rsidR="00290EE2" w:rsidRPr="00A80F8F" w:rsidRDefault="00290EE2" w:rsidP="000C2FB1">
            <w:pPr>
              <w:jc w:val="center"/>
              <w:rPr>
                <w:sz w:val="18"/>
                <w:szCs w:val="18"/>
              </w:rPr>
            </w:pPr>
            <w:r>
              <w:rPr>
                <w:sz w:val="18"/>
                <w:szCs w:val="18"/>
              </w:rPr>
              <w:t>32.30</w:t>
            </w:r>
          </w:p>
        </w:tc>
        <w:tc>
          <w:tcPr>
            <w:tcW w:w="1870" w:type="dxa"/>
            <w:vAlign w:val="center"/>
          </w:tcPr>
          <w:p w14:paraId="2C1882F7" w14:textId="77777777" w:rsidR="00290EE2" w:rsidRPr="00A80F8F" w:rsidRDefault="00290EE2" w:rsidP="000C2FB1">
            <w:pPr>
              <w:jc w:val="center"/>
              <w:rPr>
                <w:sz w:val="18"/>
                <w:szCs w:val="18"/>
              </w:rPr>
            </w:pPr>
            <w:r>
              <w:rPr>
                <w:sz w:val="18"/>
                <w:szCs w:val="18"/>
              </w:rPr>
              <w:t>67.70</w:t>
            </w:r>
          </w:p>
        </w:tc>
      </w:tr>
      <w:tr w:rsidR="00290EE2" w14:paraId="25180234" w14:textId="77777777" w:rsidTr="000C2FB1">
        <w:tc>
          <w:tcPr>
            <w:tcW w:w="2785" w:type="dxa"/>
            <w:vAlign w:val="center"/>
          </w:tcPr>
          <w:p w14:paraId="1564BEE3" w14:textId="77777777" w:rsidR="00290EE2" w:rsidRDefault="00290EE2" w:rsidP="000C2FB1">
            <w:pPr>
              <w:jc w:val="right"/>
              <w:rPr>
                <w:sz w:val="18"/>
              </w:rPr>
            </w:pPr>
            <w:r>
              <w:rPr>
                <w:sz w:val="18"/>
              </w:rPr>
              <w:t>6</w:t>
            </w:r>
            <w:r w:rsidRPr="00AF07AB">
              <w:rPr>
                <w:sz w:val="18"/>
                <w:vertAlign w:val="superscript"/>
              </w:rPr>
              <w:t>th</w:t>
            </w:r>
            <w:r>
              <w:rPr>
                <w:sz w:val="18"/>
              </w:rPr>
              <w:t xml:space="preserve"> Grade Math</w:t>
            </w:r>
          </w:p>
        </w:tc>
        <w:tc>
          <w:tcPr>
            <w:tcW w:w="955" w:type="dxa"/>
            <w:vAlign w:val="center"/>
          </w:tcPr>
          <w:p w14:paraId="54FBBF83" w14:textId="77777777" w:rsidR="00290EE2" w:rsidRPr="00A80F8F" w:rsidRDefault="00290EE2" w:rsidP="000C2FB1">
            <w:pPr>
              <w:jc w:val="center"/>
              <w:rPr>
                <w:sz w:val="18"/>
                <w:szCs w:val="18"/>
              </w:rPr>
            </w:pPr>
            <w:r>
              <w:rPr>
                <w:sz w:val="18"/>
                <w:szCs w:val="18"/>
              </w:rPr>
              <w:t>2,033</w:t>
            </w:r>
          </w:p>
        </w:tc>
        <w:tc>
          <w:tcPr>
            <w:tcW w:w="1870" w:type="dxa"/>
            <w:vAlign w:val="center"/>
          </w:tcPr>
          <w:p w14:paraId="58EEF581" w14:textId="77777777" w:rsidR="00290EE2" w:rsidRPr="00A80F8F" w:rsidRDefault="00290EE2" w:rsidP="000C2FB1">
            <w:pPr>
              <w:jc w:val="center"/>
              <w:rPr>
                <w:sz w:val="18"/>
                <w:szCs w:val="18"/>
              </w:rPr>
            </w:pPr>
            <w:r>
              <w:rPr>
                <w:sz w:val="18"/>
                <w:szCs w:val="18"/>
              </w:rPr>
              <w:t>549.86</w:t>
            </w:r>
          </w:p>
        </w:tc>
        <w:tc>
          <w:tcPr>
            <w:tcW w:w="1870" w:type="dxa"/>
            <w:vAlign w:val="center"/>
          </w:tcPr>
          <w:p w14:paraId="624D4BCC" w14:textId="77777777" w:rsidR="00290EE2" w:rsidRPr="00A80F8F" w:rsidRDefault="00290EE2" w:rsidP="000C2FB1">
            <w:pPr>
              <w:jc w:val="center"/>
              <w:rPr>
                <w:sz w:val="18"/>
                <w:szCs w:val="18"/>
              </w:rPr>
            </w:pPr>
            <w:r>
              <w:rPr>
                <w:sz w:val="18"/>
                <w:szCs w:val="18"/>
              </w:rPr>
              <w:t>33.01</w:t>
            </w:r>
          </w:p>
        </w:tc>
        <w:tc>
          <w:tcPr>
            <w:tcW w:w="1870" w:type="dxa"/>
            <w:vAlign w:val="center"/>
          </w:tcPr>
          <w:p w14:paraId="4A61CD91" w14:textId="77777777" w:rsidR="00290EE2" w:rsidRPr="00A80F8F" w:rsidRDefault="00290EE2" w:rsidP="000C2FB1">
            <w:pPr>
              <w:jc w:val="center"/>
              <w:rPr>
                <w:sz w:val="18"/>
                <w:szCs w:val="18"/>
              </w:rPr>
            </w:pPr>
            <w:r>
              <w:rPr>
                <w:sz w:val="18"/>
                <w:szCs w:val="18"/>
              </w:rPr>
              <w:t>66.99</w:t>
            </w:r>
          </w:p>
        </w:tc>
      </w:tr>
      <w:tr w:rsidR="00290EE2" w14:paraId="727E42D0" w14:textId="77777777" w:rsidTr="000C2FB1">
        <w:tc>
          <w:tcPr>
            <w:tcW w:w="2785" w:type="dxa"/>
            <w:vAlign w:val="center"/>
          </w:tcPr>
          <w:p w14:paraId="25194628" w14:textId="77777777" w:rsidR="00290EE2" w:rsidRDefault="00290EE2" w:rsidP="000C2FB1">
            <w:pPr>
              <w:jc w:val="right"/>
              <w:rPr>
                <w:sz w:val="18"/>
              </w:rPr>
            </w:pPr>
            <w:r>
              <w:rPr>
                <w:sz w:val="18"/>
              </w:rPr>
              <w:t>7</w:t>
            </w:r>
            <w:r w:rsidRPr="00AF07AB">
              <w:rPr>
                <w:sz w:val="18"/>
                <w:vertAlign w:val="superscript"/>
              </w:rPr>
              <w:t>th</w:t>
            </w:r>
            <w:r>
              <w:rPr>
                <w:sz w:val="18"/>
              </w:rPr>
              <w:t xml:space="preserve"> Grade Math</w:t>
            </w:r>
          </w:p>
        </w:tc>
        <w:tc>
          <w:tcPr>
            <w:tcW w:w="955" w:type="dxa"/>
            <w:vAlign w:val="center"/>
          </w:tcPr>
          <w:p w14:paraId="55A52806" w14:textId="77777777" w:rsidR="00290EE2" w:rsidRPr="00A80F8F" w:rsidRDefault="00290EE2" w:rsidP="000C2FB1">
            <w:pPr>
              <w:jc w:val="center"/>
              <w:rPr>
                <w:sz w:val="18"/>
                <w:szCs w:val="18"/>
              </w:rPr>
            </w:pPr>
            <w:r>
              <w:rPr>
                <w:sz w:val="18"/>
                <w:szCs w:val="18"/>
              </w:rPr>
              <w:t>1,823</w:t>
            </w:r>
          </w:p>
        </w:tc>
        <w:tc>
          <w:tcPr>
            <w:tcW w:w="1870" w:type="dxa"/>
            <w:vAlign w:val="center"/>
          </w:tcPr>
          <w:p w14:paraId="3BFD5090" w14:textId="77777777" w:rsidR="00290EE2" w:rsidRPr="00A80F8F" w:rsidRDefault="00290EE2" w:rsidP="000C2FB1">
            <w:pPr>
              <w:jc w:val="center"/>
              <w:rPr>
                <w:sz w:val="18"/>
                <w:szCs w:val="18"/>
              </w:rPr>
            </w:pPr>
            <w:r>
              <w:rPr>
                <w:sz w:val="18"/>
                <w:szCs w:val="18"/>
              </w:rPr>
              <w:t>550.23</w:t>
            </w:r>
          </w:p>
        </w:tc>
        <w:tc>
          <w:tcPr>
            <w:tcW w:w="1870" w:type="dxa"/>
            <w:vAlign w:val="center"/>
          </w:tcPr>
          <w:p w14:paraId="00086AC0" w14:textId="77777777" w:rsidR="00290EE2" w:rsidRPr="00A80F8F" w:rsidRDefault="00290EE2" w:rsidP="000C2FB1">
            <w:pPr>
              <w:jc w:val="center"/>
              <w:rPr>
                <w:sz w:val="18"/>
                <w:szCs w:val="18"/>
              </w:rPr>
            </w:pPr>
            <w:r>
              <w:rPr>
                <w:sz w:val="18"/>
                <w:szCs w:val="18"/>
              </w:rPr>
              <w:t>32.97</w:t>
            </w:r>
          </w:p>
        </w:tc>
        <w:tc>
          <w:tcPr>
            <w:tcW w:w="1870" w:type="dxa"/>
            <w:vAlign w:val="center"/>
          </w:tcPr>
          <w:p w14:paraId="5DF3F155" w14:textId="77777777" w:rsidR="00290EE2" w:rsidRPr="00A80F8F" w:rsidRDefault="00290EE2" w:rsidP="000C2FB1">
            <w:pPr>
              <w:jc w:val="center"/>
              <w:rPr>
                <w:sz w:val="18"/>
                <w:szCs w:val="18"/>
              </w:rPr>
            </w:pPr>
            <w:r>
              <w:rPr>
                <w:sz w:val="18"/>
                <w:szCs w:val="18"/>
              </w:rPr>
              <w:t>67.03</w:t>
            </w:r>
          </w:p>
        </w:tc>
      </w:tr>
      <w:tr w:rsidR="00290EE2" w14:paraId="0F0BFDAD" w14:textId="77777777" w:rsidTr="000C2FB1">
        <w:tc>
          <w:tcPr>
            <w:tcW w:w="2785" w:type="dxa"/>
            <w:vAlign w:val="center"/>
          </w:tcPr>
          <w:p w14:paraId="70D6137B" w14:textId="77777777" w:rsidR="00290EE2" w:rsidRDefault="00290EE2" w:rsidP="000C2FB1">
            <w:pPr>
              <w:jc w:val="right"/>
              <w:rPr>
                <w:sz w:val="18"/>
              </w:rPr>
            </w:pPr>
            <w:r>
              <w:rPr>
                <w:sz w:val="18"/>
              </w:rPr>
              <w:t>8</w:t>
            </w:r>
            <w:r w:rsidRPr="00AF07AB">
              <w:rPr>
                <w:sz w:val="18"/>
                <w:vertAlign w:val="superscript"/>
              </w:rPr>
              <w:t>th</w:t>
            </w:r>
            <w:r>
              <w:rPr>
                <w:sz w:val="18"/>
              </w:rPr>
              <w:t xml:space="preserve"> Grade Math</w:t>
            </w:r>
          </w:p>
        </w:tc>
        <w:tc>
          <w:tcPr>
            <w:tcW w:w="955" w:type="dxa"/>
            <w:vAlign w:val="center"/>
          </w:tcPr>
          <w:p w14:paraId="5FB64181" w14:textId="77777777" w:rsidR="00290EE2" w:rsidRPr="00A80F8F" w:rsidRDefault="00290EE2" w:rsidP="000C2FB1">
            <w:pPr>
              <w:jc w:val="center"/>
              <w:rPr>
                <w:sz w:val="18"/>
                <w:szCs w:val="18"/>
              </w:rPr>
            </w:pPr>
            <w:r>
              <w:rPr>
                <w:sz w:val="18"/>
                <w:szCs w:val="18"/>
              </w:rPr>
              <w:t>1,304</w:t>
            </w:r>
          </w:p>
        </w:tc>
        <w:tc>
          <w:tcPr>
            <w:tcW w:w="1870" w:type="dxa"/>
            <w:vAlign w:val="center"/>
          </w:tcPr>
          <w:p w14:paraId="6DFBDA63" w14:textId="77777777" w:rsidR="00290EE2" w:rsidRPr="00A80F8F" w:rsidRDefault="00290EE2" w:rsidP="000C2FB1">
            <w:pPr>
              <w:jc w:val="center"/>
              <w:rPr>
                <w:sz w:val="18"/>
                <w:szCs w:val="18"/>
              </w:rPr>
            </w:pPr>
            <w:r>
              <w:rPr>
                <w:sz w:val="18"/>
                <w:szCs w:val="18"/>
              </w:rPr>
              <w:t>540.74</w:t>
            </w:r>
          </w:p>
        </w:tc>
        <w:tc>
          <w:tcPr>
            <w:tcW w:w="1870" w:type="dxa"/>
            <w:vAlign w:val="center"/>
          </w:tcPr>
          <w:p w14:paraId="71F5F0B6" w14:textId="77777777" w:rsidR="00290EE2" w:rsidRPr="00A80F8F" w:rsidRDefault="00290EE2" w:rsidP="000C2FB1">
            <w:pPr>
              <w:jc w:val="center"/>
              <w:rPr>
                <w:sz w:val="18"/>
                <w:szCs w:val="18"/>
              </w:rPr>
            </w:pPr>
            <w:r>
              <w:rPr>
                <w:sz w:val="18"/>
                <w:szCs w:val="18"/>
              </w:rPr>
              <w:t>51.61</w:t>
            </w:r>
          </w:p>
        </w:tc>
        <w:tc>
          <w:tcPr>
            <w:tcW w:w="1870" w:type="dxa"/>
            <w:vAlign w:val="center"/>
          </w:tcPr>
          <w:p w14:paraId="032073ED" w14:textId="77777777" w:rsidR="00290EE2" w:rsidRPr="00A80F8F" w:rsidRDefault="00290EE2" w:rsidP="000C2FB1">
            <w:pPr>
              <w:jc w:val="center"/>
              <w:rPr>
                <w:sz w:val="18"/>
                <w:szCs w:val="18"/>
              </w:rPr>
            </w:pPr>
            <w:r>
              <w:rPr>
                <w:sz w:val="18"/>
                <w:szCs w:val="18"/>
              </w:rPr>
              <w:t>48.39</w:t>
            </w:r>
          </w:p>
        </w:tc>
      </w:tr>
      <w:tr w:rsidR="00290EE2" w14:paraId="771E9907" w14:textId="77777777" w:rsidTr="000C2FB1">
        <w:tc>
          <w:tcPr>
            <w:tcW w:w="2785" w:type="dxa"/>
            <w:vAlign w:val="center"/>
          </w:tcPr>
          <w:p w14:paraId="5A0FA0A1" w14:textId="77777777" w:rsidR="00290EE2" w:rsidRDefault="00290EE2" w:rsidP="000C2FB1">
            <w:pPr>
              <w:jc w:val="right"/>
              <w:rPr>
                <w:sz w:val="18"/>
              </w:rPr>
            </w:pPr>
            <w:r>
              <w:rPr>
                <w:sz w:val="18"/>
              </w:rPr>
              <w:t>5</w:t>
            </w:r>
            <w:r w:rsidRPr="000F1F8B">
              <w:rPr>
                <w:sz w:val="18"/>
                <w:vertAlign w:val="superscript"/>
              </w:rPr>
              <w:t>th</w:t>
            </w:r>
            <w:r>
              <w:rPr>
                <w:sz w:val="18"/>
              </w:rPr>
              <w:t xml:space="preserve"> Grade Science</w:t>
            </w:r>
          </w:p>
        </w:tc>
        <w:tc>
          <w:tcPr>
            <w:tcW w:w="955" w:type="dxa"/>
            <w:vAlign w:val="center"/>
          </w:tcPr>
          <w:p w14:paraId="2492159C" w14:textId="77777777" w:rsidR="00290EE2" w:rsidRPr="00A80F8F" w:rsidRDefault="00290EE2" w:rsidP="000C2FB1">
            <w:pPr>
              <w:jc w:val="center"/>
              <w:rPr>
                <w:sz w:val="18"/>
                <w:szCs w:val="18"/>
              </w:rPr>
            </w:pPr>
            <w:r>
              <w:rPr>
                <w:sz w:val="18"/>
                <w:szCs w:val="18"/>
              </w:rPr>
              <w:t>2,008</w:t>
            </w:r>
          </w:p>
        </w:tc>
        <w:tc>
          <w:tcPr>
            <w:tcW w:w="1870" w:type="dxa"/>
            <w:vAlign w:val="center"/>
          </w:tcPr>
          <w:p w14:paraId="1353C257" w14:textId="77777777" w:rsidR="00290EE2" w:rsidRPr="00A80F8F" w:rsidRDefault="00290EE2" w:rsidP="000C2FB1">
            <w:pPr>
              <w:jc w:val="center"/>
              <w:rPr>
                <w:sz w:val="18"/>
                <w:szCs w:val="18"/>
              </w:rPr>
            </w:pPr>
            <w:r>
              <w:rPr>
                <w:sz w:val="18"/>
                <w:szCs w:val="18"/>
              </w:rPr>
              <w:t>256.11</w:t>
            </w:r>
          </w:p>
        </w:tc>
        <w:tc>
          <w:tcPr>
            <w:tcW w:w="1870" w:type="dxa"/>
            <w:vAlign w:val="center"/>
          </w:tcPr>
          <w:p w14:paraId="0F532DB8" w14:textId="77777777" w:rsidR="00290EE2" w:rsidRPr="00A80F8F" w:rsidRDefault="00290EE2" w:rsidP="000C2FB1">
            <w:pPr>
              <w:jc w:val="center"/>
              <w:rPr>
                <w:sz w:val="18"/>
                <w:szCs w:val="18"/>
              </w:rPr>
            </w:pPr>
            <w:r>
              <w:rPr>
                <w:sz w:val="18"/>
                <w:szCs w:val="18"/>
              </w:rPr>
              <w:t>19.97</w:t>
            </w:r>
          </w:p>
        </w:tc>
        <w:tc>
          <w:tcPr>
            <w:tcW w:w="1870" w:type="dxa"/>
            <w:vAlign w:val="center"/>
          </w:tcPr>
          <w:p w14:paraId="050DA278" w14:textId="77777777" w:rsidR="00290EE2" w:rsidRPr="00A80F8F" w:rsidRDefault="00290EE2" w:rsidP="000C2FB1">
            <w:pPr>
              <w:jc w:val="center"/>
              <w:rPr>
                <w:sz w:val="18"/>
                <w:szCs w:val="18"/>
              </w:rPr>
            </w:pPr>
            <w:r>
              <w:rPr>
                <w:sz w:val="18"/>
                <w:szCs w:val="18"/>
              </w:rPr>
              <w:t>80.03</w:t>
            </w:r>
          </w:p>
        </w:tc>
      </w:tr>
      <w:tr w:rsidR="00290EE2" w14:paraId="1DB8138D" w14:textId="77777777" w:rsidTr="000C2FB1">
        <w:tc>
          <w:tcPr>
            <w:tcW w:w="2785" w:type="dxa"/>
            <w:vAlign w:val="center"/>
          </w:tcPr>
          <w:p w14:paraId="6BE18DAA" w14:textId="77777777" w:rsidR="00290EE2" w:rsidRDefault="00290EE2" w:rsidP="000C2FB1">
            <w:pPr>
              <w:jc w:val="right"/>
              <w:rPr>
                <w:sz w:val="18"/>
              </w:rPr>
            </w:pPr>
            <w:r>
              <w:rPr>
                <w:sz w:val="18"/>
              </w:rPr>
              <w:t>8</w:t>
            </w:r>
            <w:r w:rsidRPr="00AF07AB">
              <w:rPr>
                <w:sz w:val="18"/>
                <w:vertAlign w:val="superscript"/>
              </w:rPr>
              <w:t>th</w:t>
            </w:r>
            <w:r>
              <w:rPr>
                <w:sz w:val="18"/>
              </w:rPr>
              <w:t xml:space="preserve"> Grade Science</w:t>
            </w:r>
          </w:p>
        </w:tc>
        <w:tc>
          <w:tcPr>
            <w:tcW w:w="955" w:type="dxa"/>
            <w:vAlign w:val="center"/>
          </w:tcPr>
          <w:p w14:paraId="470490CB" w14:textId="77777777" w:rsidR="00290EE2" w:rsidRPr="00A80F8F" w:rsidRDefault="00290EE2" w:rsidP="000C2FB1">
            <w:pPr>
              <w:jc w:val="center"/>
              <w:rPr>
                <w:sz w:val="18"/>
                <w:szCs w:val="18"/>
              </w:rPr>
            </w:pPr>
            <w:r>
              <w:rPr>
                <w:sz w:val="18"/>
                <w:szCs w:val="18"/>
              </w:rPr>
              <w:t>1,896</w:t>
            </w:r>
          </w:p>
        </w:tc>
        <w:tc>
          <w:tcPr>
            <w:tcW w:w="1870" w:type="dxa"/>
            <w:vAlign w:val="center"/>
          </w:tcPr>
          <w:p w14:paraId="15339417" w14:textId="77777777" w:rsidR="00290EE2" w:rsidRPr="00A80F8F" w:rsidRDefault="00290EE2" w:rsidP="000C2FB1">
            <w:pPr>
              <w:jc w:val="center"/>
              <w:rPr>
                <w:sz w:val="18"/>
                <w:szCs w:val="18"/>
              </w:rPr>
            </w:pPr>
            <w:r>
              <w:rPr>
                <w:sz w:val="18"/>
                <w:szCs w:val="18"/>
              </w:rPr>
              <w:t>254.66</w:t>
            </w:r>
          </w:p>
        </w:tc>
        <w:tc>
          <w:tcPr>
            <w:tcW w:w="1870" w:type="dxa"/>
            <w:vAlign w:val="center"/>
          </w:tcPr>
          <w:p w14:paraId="76C4EFBF" w14:textId="77777777" w:rsidR="00290EE2" w:rsidRPr="00A80F8F" w:rsidRDefault="00290EE2" w:rsidP="000C2FB1">
            <w:pPr>
              <w:jc w:val="center"/>
              <w:rPr>
                <w:sz w:val="18"/>
                <w:szCs w:val="18"/>
              </w:rPr>
            </w:pPr>
            <w:r>
              <w:rPr>
                <w:sz w:val="18"/>
                <w:szCs w:val="18"/>
              </w:rPr>
              <w:t>17.25</w:t>
            </w:r>
          </w:p>
        </w:tc>
        <w:tc>
          <w:tcPr>
            <w:tcW w:w="1870" w:type="dxa"/>
            <w:vAlign w:val="center"/>
          </w:tcPr>
          <w:p w14:paraId="7C2E77D5" w14:textId="77777777" w:rsidR="00290EE2" w:rsidRPr="00A80F8F" w:rsidRDefault="00290EE2" w:rsidP="000C2FB1">
            <w:pPr>
              <w:jc w:val="center"/>
              <w:rPr>
                <w:sz w:val="18"/>
                <w:szCs w:val="18"/>
              </w:rPr>
            </w:pPr>
            <w:r>
              <w:rPr>
                <w:sz w:val="18"/>
                <w:szCs w:val="18"/>
              </w:rPr>
              <w:t>82.75</w:t>
            </w:r>
          </w:p>
        </w:tc>
      </w:tr>
    </w:tbl>
    <w:p w14:paraId="39D2D4BA" w14:textId="77777777" w:rsidR="00290EE2" w:rsidRDefault="00290EE2" w:rsidP="00290EE2">
      <w:pPr>
        <w:spacing w:after="0" w:line="240" w:lineRule="auto"/>
        <w:rPr>
          <w:i/>
          <w:sz w:val="16"/>
        </w:rPr>
      </w:pPr>
      <w:r>
        <w:rPr>
          <w:i/>
          <w:sz w:val="16"/>
        </w:rPr>
        <w:t>Note:  For the 2018-19 academic year, this table displays descriptive student achievement data for the D.C. Virgo Preparatory Academy and for all other New Hanover County students in the same grades.</w:t>
      </w:r>
    </w:p>
    <w:p w14:paraId="3E90C69C" w14:textId="532024EA" w:rsidR="00290EE2" w:rsidRDefault="00290EE2" w:rsidP="004A191B">
      <w:pPr>
        <w:spacing w:after="0" w:line="240" w:lineRule="auto"/>
        <w:rPr>
          <w:i/>
        </w:rPr>
      </w:pPr>
    </w:p>
    <w:p w14:paraId="13350179" w14:textId="77777777" w:rsidR="00290EE2" w:rsidRDefault="00290EE2" w:rsidP="004A191B">
      <w:pPr>
        <w:spacing w:after="0" w:line="240" w:lineRule="auto"/>
        <w:rPr>
          <w:i/>
        </w:rPr>
      </w:pPr>
    </w:p>
    <w:p w14:paraId="37469614" w14:textId="77777777" w:rsidR="004A191B" w:rsidRDefault="004A191B" w:rsidP="004A191B">
      <w:pPr>
        <w:spacing w:after="0" w:line="240" w:lineRule="auto"/>
        <w:rPr>
          <w:i/>
        </w:rPr>
      </w:pPr>
    </w:p>
    <w:p w14:paraId="29F84F50" w14:textId="77777777" w:rsidR="004A191B" w:rsidRDefault="004A191B" w:rsidP="004A191B">
      <w:pPr>
        <w:spacing w:after="0" w:line="240" w:lineRule="auto"/>
        <w:rPr>
          <w:i/>
        </w:rPr>
      </w:pPr>
    </w:p>
    <w:p w14:paraId="360785EE" w14:textId="77777777" w:rsidR="004A191B" w:rsidRDefault="004A191B" w:rsidP="004A191B">
      <w:pPr>
        <w:spacing w:after="0" w:line="240" w:lineRule="auto"/>
        <w:rPr>
          <w:i/>
        </w:rPr>
      </w:pPr>
    </w:p>
    <w:p w14:paraId="59A9DB71" w14:textId="2109EDB5" w:rsidR="004A191B" w:rsidRDefault="004A191B" w:rsidP="004A191B">
      <w:pPr>
        <w:spacing w:after="0" w:line="240" w:lineRule="auto"/>
        <w:rPr>
          <w:i/>
        </w:rPr>
      </w:pPr>
    </w:p>
    <w:p w14:paraId="14F0FFCA" w14:textId="7C91A359" w:rsidR="00CC2434" w:rsidRDefault="00CC2434" w:rsidP="004A191B">
      <w:pPr>
        <w:spacing w:after="0" w:line="240" w:lineRule="auto"/>
        <w:rPr>
          <w:i/>
        </w:rPr>
      </w:pPr>
    </w:p>
    <w:p w14:paraId="7A348BA8" w14:textId="4CDEB5D3" w:rsidR="00CC2434" w:rsidRDefault="00CC2434" w:rsidP="004A191B">
      <w:pPr>
        <w:spacing w:after="0" w:line="240" w:lineRule="auto"/>
        <w:rPr>
          <w:i/>
        </w:rPr>
      </w:pPr>
    </w:p>
    <w:p w14:paraId="16F23AFE" w14:textId="65CDE5DB" w:rsidR="00CC2434" w:rsidRDefault="00CC2434" w:rsidP="004A191B">
      <w:pPr>
        <w:spacing w:after="0" w:line="240" w:lineRule="auto"/>
        <w:rPr>
          <w:i/>
        </w:rPr>
      </w:pPr>
    </w:p>
    <w:p w14:paraId="26F7FC9E" w14:textId="12A30F1F" w:rsidR="00CC2434" w:rsidRDefault="00CC2434" w:rsidP="004A191B">
      <w:pPr>
        <w:spacing w:after="0" w:line="240" w:lineRule="auto"/>
        <w:rPr>
          <w:i/>
        </w:rPr>
      </w:pPr>
    </w:p>
    <w:p w14:paraId="1487C3F3" w14:textId="3774F0C8" w:rsidR="00CC2434" w:rsidRDefault="00CC2434" w:rsidP="004A191B">
      <w:pPr>
        <w:spacing w:after="0" w:line="240" w:lineRule="auto"/>
        <w:rPr>
          <w:i/>
        </w:rPr>
      </w:pPr>
    </w:p>
    <w:p w14:paraId="1C4608A4" w14:textId="45C64934" w:rsidR="00CC2434" w:rsidRDefault="00CC2434" w:rsidP="004A191B">
      <w:pPr>
        <w:spacing w:after="0" w:line="240" w:lineRule="auto"/>
        <w:rPr>
          <w:i/>
        </w:rPr>
      </w:pPr>
    </w:p>
    <w:p w14:paraId="62F3309F" w14:textId="269D30B6" w:rsidR="00CC2434" w:rsidRDefault="00CC2434" w:rsidP="004A191B">
      <w:pPr>
        <w:spacing w:after="0" w:line="240" w:lineRule="auto"/>
        <w:rPr>
          <w:i/>
        </w:rPr>
      </w:pPr>
    </w:p>
    <w:p w14:paraId="77626DA3" w14:textId="1614F6E9" w:rsidR="00CC2434" w:rsidRDefault="00CC2434" w:rsidP="004A191B">
      <w:pPr>
        <w:spacing w:after="0" w:line="240" w:lineRule="auto"/>
        <w:rPr>
          <w:i/>
        </w:rPr>
      </w:pPr>
    </w:p>
    <w:p w14:paraId="3D510350" w14:textId="67F8F684" w:rsidR="00CC2434" w:rsidRDefault="00CC2434" w:rsidP="004A191B">
      <w:pPr>
        <w:spacing w:after="0" w:line="240" w:lineRule="auto"/>
        <w:rPr>
          <w:i/>
        </w:rPr>
      </w:pPr>
    </w:p>
    <w:p w14:paraId="551619B7" w14:textId="4BE573AC" w:rsidR="00CC2434" w:rsidRDefault="00CC2434" w:rsidP="004A191B">
      <w:pPr>
        <w:spacing w:after="0" w:line="240" w:lineRule="auto"/>
        <w:rPr>
          <w:i/>
        </w:rPr>
      </w:pPr>
    </w:p>
    <w:p w14:paraId="3C93606E" w14:textId="7CE738B8" w:rsidR="00CC2434" w:rsidRDefault="00CC2434" w:rsidP="004A191B">
      <w:pPr>
        <w:spacing w:after="0" w:line="240" w:lineRule="auto"/>
        <w:rPr>
          <w:i/>
        </w:rPr>
      </w:pPr>
    </w:p>
    <w:p w14:paraId="692088AA" w14:textId="3FBF7E00" w:rsidR="00CC2434" w:rsidRDefault="00CC2434" w:rsidP="00CC2434">
      <w:pPr>
        <w:spacing w:after="0" w:line="240" w:lineRule="auto"/>
        <w:rPr>
          <w:i/>
        </w:rPr>
      </w:pPr>
      <w:r>
        <w:rPr>
          <w:i/>
        </w:rPr>
        <w:lastRenderedPageBreak/>
        <w:t>Appendix Table A5.5:  2018-19 Test Score Data for The Catamount School and Other, Same-Grade Students in Jackson County Schools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785"/>
        <w:gridCol w:w="955"/>
        <w:gridCol w:w="1870"/>
        <w:gridCol w:w="1870"/>
        <w:gridCol w:w="1870"/>
      </w:tblGrid>
      <w:tr w:rsidR="00CC2434" w14:paraId="443E1AB3" w14:textId="77777777" w:rsidTr="000C2FB1">
        <w:tc>
          <w:tcPr>
            <w:tcW w:w="2785" w:type="dxa"/>
            <w:shd w:val="clear" w:color="auto" w:fill="F2F2F2" w:themeFill="background1" w:themeFillShade="F2"/>
            <w:vAlign w:val="center"/>
          </w:tcPr>
          <w:p w14:paraId="2027C989" w14:textId="77777777" w:rsidR="00CC2434" w:rsidRPr="00A80F8F" w:rsidRDefault="00CC2434" w:rsidP="000C2FB1">
            <w:pPr>
              <w:jc w:val="center"/>
              <w:rPr>
                <w:sz w:val="18"/>
              </w:rPr>
            </w:pPr>
            <w:r>
              <w:rPr>
                <w:sz w:val="18"/>
              </w:rPr>
              <w:t>Test</w:t>
            </w:r>
          </w:p>
        </w:tc>
        <w:tc>
          <w:tcPr>
            <w:tcW w:w="955" w:type="dxa"/>
            <w:shd w:val="clear" w:color="auto" w:fill="F2F2F2" w:themeFill="background1" w:themeFillShade="F2"/>
            <w:vAlign w:val="center"/>
          </w:tcPr>
          <w:p w14:paraId="316B5633" w14:textId="77777777" w:rsidR="00CC2434" w:rsidRPr="00A80F8F" w:rsidRDefault="00CC2434" w:rsidP="000C2FB1">
            <w:pPr>
              <w:jc w:val="center"/>
              <w:rPr>
                <w:sz w:val="18"/>
              </w:rPr>
            </w:pPr>
            <w:r>
              <w:rPr>
                <w:sz w:val="18"/>
              </w:rPr>
              <w:t>Student Count</w:t>
            </w:r>
          </w:p>
        </w:tc>
        <w:tc>
          <w:tcPr>
            <w:tcW w:w="1870" w:type="dxa"/>
            <w:shd w:val="clear" w:color="auto" w:fill="F2F2F2" w:themeFill="background1" w:themeFillShade="F2"/>
            <w:vAlign w:val="center"/>
          </w:tcPr>
          <w:p w14:paraId="7DD6BCAA" w14:textId="77777777" w:rsidR="00CC2434" w:rsidRPr="00A80F8F" w:rsidRDefault="00CC2434" w:rsidP="000C2FB1">
            <w:pPr>
              <w:jc w:val="center"/>
              <w:rPr>
                <w:sz w:val="18"/>
              </w:rPr>
            </w:pPr>
            <w:r>
              <w:rPr>
                <w:sz w:val="18"/>
              </w:rPr>
              <w:t>Average Test Score</w:t>
            </w:r>
          </w:p>
        </w:tc>
        <w:tc>
          <w:tcPr>
            <w:tcW w:w="1870" w:type="dxa"/>
            <w:shd w:val="clear" w:color="auto" w:fill="F2F2F2" w:themeFill="background1" w:themeFillShade="F2"/>
            <w:vAlign w:val="center"/>
          </w:tcPr>
          <w:p w14:paraId="3210B34E" w14:textId="77777777" w:rsidR="00CC2434" w:rsidRPr="00A80F8F" w:rsidRDefault="00CC2434" w:rsidP="000C2FB1">
            <w:pPr>
              <w:jc w:val="center"/>
              <w:rPr>
                <w:sz w:val="18"/>
              </w:rPr>
            </w:pPr>
            <w:r>
              <w:rPr>
                <w:sz w:val="18"/>
              </w:rPr>
              <w:t>Percent Below Proficient</w:t>
            </w:r>
          </w:p>
        </w:tc>
        <w:tc>
          <w:tcPr>
            <w:tcW w:w="1870" w:type="dxa"/>
            <w:shd w:val="clear" w:color="auto" w:fill="F2F2F2" w:themeFill="background1" w:themeFillShade="F2"/>
            <w:vAlign w:val="center"/>
          </w:tcPr>
          <w:p w14:paraId="45BB8064" w14:textId="77777777" w:rsidR="00CC2434" w:rsidRDefault="00CC2434" w:rsidP="000C2FB1">
            <w:pPr>
              <w:jc w:val="center"/>
              <w:rPr>
                <w:sz w:val="18"/>
              </w:rPr>
            </w:pPr>
            <w:r>
              <w:rPr>
                <w:sz w:val="18"/>
              </w:rPr>
              <w:t xml:space="preserve">Percent Proficient </w:t>
            </w:r>
          </w:p>
          <w:p w14:paraId="453959FD" w14:textId="77777777" w:rsidR="00CC2434" w:rsidRPr="00A80F8F" w:rsidRDefault="00CC2434" w:rsidP="000C2FB1">
            <w:pPr>
              <w:jc w:val="center"/>
              <w:rPr>
                <w:sz w:val="18"/>
              </w:rPr>
            </w:pPr>
            <w:r>
              <w:rPr>
                <w:sz w:val="18"/>
              </w:rPr>
              <w:t>or Above</w:t>
            </w:r>
          </w:p>
        </w:tc>
      </w:tr>
      <w:tr w:rsidR="00CC2434" w14:paraId="2D427CC8" w14:textId="77777777" w:rsidTr="000C2FB1">
        <w:tc>
          <w:tcPr>
            <w:tcW w:w="9350" w:type="dxa"/>
            <w:gridSpan w:val="5"/>
            <w:vAlign w:val="center"/>
          </w:tcPr>
          <w:p w14:paraId="1D930C10" w14:textId="77777777" w:rsidR="00CC2434" w:rsidRPr="00A80F8F" w:rsidRDefault="00CC2434" w:rsidP="000C2FB1">
            <w:pPr>
              <w:jc w:val="center"/>
              <w:rPr>
                <w:i/>
                <w:sz w:val="18"/>
              </w:rPr>
            </w:pPr>
            <w:r>
              <w:rPr>
                <w:i/>
                <w:sz w:val="18"/>
              </w:rPr>
              <w:t>The Catamount School</w:t>
            </w:r>
          </w:p>
        </w:tc>
      </w:tr>
      <w:tr w:rsidR="00CC2434" w14:paraId="1229ABEC" w14:textId="77777777" w:rsidTr="000C2FB1">
        <w:tc>
          <w:tcPr>
            <w:tcW w:w="2785" w:type="dxa"/>
            <w:vAlign w:val="center"/>
          </w:tcPr>
          <w:p w14:paraId="6AB9DC9F" w14:textId="77777777" w:rsidR="00CC2434" w:rsidRPr="00A80F8F" w:rsidRDefault="00CC2434" w:rsidP="000C2FB1">
            <w:pPr>
              <w:jc w:val="right"/>
              <w:rPr>
                <w:sz w:val="18"/>
              </w:rPr>
            </w:pPr>
            <w:r>
              <w:rPr>
                <w:sz w:val="18"/>
              </w:rPr>
              <w:t>6</w:t>
            </w:r>
            <w:r w:rsidRPr="00876B12">
              <w:rPr>
                <w:sz w:val="18"/>
                <w:vertAlign w:val="superscript"/>
              </w:rPr>
              <w:t>th</w:t>
            </w:r>
            <w:r>
              <w:rPr>
                <w:sz w:val="18"/>
              </w:rPr>
              <w:t xml:space="preserve"> Grade Reading</w:t>
            </w:r>
          </w:p>
        </w:tc>
        <w:tc>
          <w:tcPr>
            <w:tcW w:w="955" w:type="dxa"/>
            <w:vAlign w:val="center"/>
          </w:tcPr>
          <w:p w14:paraId="7751A30A" w14:textId="77777777" w:rsidR="00CC2434" w:rsidRPr="00A80F8F" w:rsidRDefault="00CC2434" w:rsidP="000C2FB1">
            <w:pPr>
              <w:jc w:val="center"/>
              <w:rPr>
                <w:sz w:val="18"/>
                <w:szCs w:val="18"/>
              </w:rPr>
            </w:pPr>
            <w:r>
              <w:rPr>
                <w:sz w:val="18"/>
                <w:szCs w:val="18"/>
              </w:rPr>
              <w:t>9</w:t>
            </w:r>
          </w:p>
        </w:tc>
        <w:tc>
          <w:tcPr>
            <w:tcW w:w="1870" w:type="dxa"/>
            <w:vAlign w:val="center"/>
          </w:tcPr>
          <w:p w14:paraId="11E8AA53" w14:textId="77777777" w:rsidR="00CC2434" w:rsidRPr="00A80F8F" w:rsidRDefault="00CC2434" w:rsidP="000C2FB1">
            <w:pPr>
              <w:jc w:val="center"/>
              <w:rPr>
                <w:sz w:val="18"/>
                <w:szCs w:val="18"/>
              </w:rPr>
            </w:pPr>
            <w:r>
              <w:rPr>
                <w:sz w:val="18"/>
                <w:szCs w:val="18"/>
              </w:rPr>
              <w:t>451.22</w:t>
            </w:r>
          </w:p>
        </w:tc>
        <w:tc>
          <w:tcPr>
            <w:tcW w:w="1870" w:type="dxa"/>
            <w:vAlign w:val="center"/>
          </w:tcPr>
          <w:p w14:paraId="25DAF703" w14:textId="77777777" w:rsidR="00CC2434" w:rsidRPr="00A80F8F" w:rsidRDefault="00CC2434" w:rsidP="000C2FB1">
            <w:pPr>
              <w:jc w:val="center"/>
              <w:rPr>
                <w:sz w:val="18"/>
                <w:szCs w:val="18"/>
              </w:rPr>
            </w:pPr>
            <w:r>
              <w:rPr>
                <w:sz w:val="18"/>
                <w:szCs w:val="18"/>
              </w:rPr>
              <w:t>44.44</w:t>
            </w:r>
          </w:p>
        </w:tc>
        <w:tc>
          <w:tcPr>
            <w:tcW w:w="1870" w:type="dxa"/>
            <w:vAlign w:val="center"/>
          </w:tcPr>
          <w:p w14:paraId="5C430528" w14:textId="77777777" w:rsidR="00CC2434" w:rsidRPr="00A80F8F" w:rsidRDefault="00CC2434" w:rsidP="000C2FB1">
            <w:pPr>
              <w:jc w:val="center"/>
              <w:rPr>
                <w:sz w:val="18"/>
                <w:szCs w:val="18"/>
              </w:rPr>
            </w:pPr>
            <w:r>
              <w:rPr>
                <w:sz w:val="18"/>
                <w:szCs w:val="18"/>
              </w:rPr>
              <w:t>55.56</w:t>
            </w:r>
          </w:p>
        </w:tc>
      </w:tr>
      <w:tr w:rsidR="00CC2434" w14:paraId="569E47C6" w14:textId="77777777" w:rsidTr="000C2FB1">
        <w:tc>
          <w:tcPr>
            <w:tcW w:w="2785" w:type="dxa"/>
            <w:vAlign w:val="center"/>
          </w:tcPr>
          <w:p w14:paraId="63B52EC9" w14:textId="77777777" w:rsidR="00CC2434" w:rsidRPr="00A80F8F" w:rsidRDefault="00CC2434" w:rsidP="000C2FB1">
            <w:pPr>
              <w:jc w:val="right"/>
              <w:rPr>
                <w:sz w:val="18"/>
              </w:rPr>
            </w:pPr>
            <w:r>
              <w:rPr>
                <w:sz w:val="18"/>
              </w:rPr>
              <w:t>7</w:t>
            </w:r>
            <w:r w:rsidRPr="00876B12">
              <w:rPr>
                <w:sz w:val="18"/>
                <w:vertAlign w:val="superscript"/>
              </w:rPr>
              <w:t>th</w:t>
            </w:r>
            <w:r>
              <w:rPr>
                <w:sz w:val="18"/>
              </w:rPr>
              <w:t xml:space="preserve"> Grade Reading</w:t>
            </w:r>
          </w:p>
        </w:tc>
        <w:tc>
          <w:tcPr>
            <w:tcW w:w="955" w:type="dxa"/>
            <w:vAlign w:val="center"/>
          </w:tcPr>
          <w:p w14:paraId="38D0BBBF" w14:textId="77777777" w:rsidR="00CC2434" w:rsidRPr="00A80F8F" w:rsidRDefault="00CC2434" w:rsidP="000C2FB1">
            <w:pPr>
              <w:jc w:val="center"/>
              <w:rPr>
                <w:sz w:val="18"/>
                <w:szCs w:val="18"/>
              </w:rPr>
            </w:pPr>
            <w:r>
              <w:rPr>
                <w:sz w:val="18"/>
                <w:szCs w:val="18"/>
              </w:rPr>
              <w:t>23</w:t>
            </w:r>
          </w:p>
        </w:tc>
        <w:tc>
          <w:tcPr>
            <w:tcW w:w="1870" w:type="dxa"/>
            <w:vAlign w:val="center"/>
          </w:tcPr>
          <w:p w14:paraId="3ABF695A" w14:textId="77777777" w:rsidR="00CC2434" w:rsidRPr="00A80F8F" w:rsidRDefault="00CC2434" w:rsidP="000C2FB1">
            <w:pPr>
              <w:jc w:val="center"/>
              <w:rPr>
                <w:sz w:val="18"/>
                <w:szCs w:val="18"/>
              </w:rPr>
            </w:pPr>
            <w:r>
              <w:rPr>
                <w:sz w:val="18"/>
                <w:szCs w:val="18"/>
              </w:rPr>
              <w:t>453.65</w:t>
            </w:r>
          </w:p>
        </w:tc>
        <w:tc>
          <w:tcPr>
            <w:tcW w:w="1870" w:type="dxa"/>
            <w:vAlign w:val="center"/>
          </w:tcPr>
          <w:p w14:paraId="5C3968CD" w14:textId="77777777" w:rsidR="00CC2434" w:rsidRPr="00A80F8F" w:rsidRDefault="00CC2434" w:rsidP="000C2FB1">
            <w:pPr>
              <w:jc w:val="center"/>
              <w:rPr>
                <w:sz w:val="18"/>
                <w:szCs w:val="18"/>
              </w:rPr>
            </w:pPr>
            <w:r>
              <w:rPr>
                <w:sz w:val="18"/>
                <w:szCs w:val="18"/>
              </w:rPr>
              <w:t>34.78</w:t>
            </w:r>
          </w:p>
        </w:tc>
        <w:tc>
          <w:tcPr>
            <w:tcW w:w="1870" w:type="dxa"/>
            <w:vAlign w:val="center"/>
          </w:tcPr>
          <w:p w14:paraId="217668C6" w14:textId="77777777" w:rsidR="00CC2434" w:rsidRPr="00A80F8F" w:rsidRDefault="00CC2434" w:rsidP="000C2FB1">
            <w:pPr>
              <w:jc w:val="center"/>
              <w:rPr>
                <w:sz w:val="18"/>
                <w:szCs w:val="18"/>
              </w:rPr>
            </w:pPr>
            <w:r>
              <w:rPr>
                <w:sz w:val="18"/>
                <w:szCs w:val="18"/>
              </w:rPr>
              <w:t>65.22</w:t>
            </w:r>
          </w:p>
        </w:tc>
      </w:tr>
      <w:tr w:rsidR="00CC2434" w14:paraId="2D55AFA1" w14:textId="77777777" w:rsidTr="000C2FB1">
        <w:tc>
          <w:tcPr>
            <w:tcW w:w="2785" w:type="dxa"/>
            <w:vAlign w:val="center"/>
          </w:tcPr>
          <w:p w14:paraId="11345A96" w14:textId="77777777" w:rsidR="00CC2434" w:rsidRDefault="00CC2434" w:rsidP="000C2FB1">
            <w:pPr>
              <w:jc w:val="right"/>
              <w:rPr>
                <w:sz w:val="18"/>
              </w:rPr>
            </w:pPr>
            <w:r>
              <w:rPr>
                <w:sz w:val="18"/>
              </w:rPr>
              <w:t>8</w:t>
            </w:r>
            <w:r w:rsidRPr="00876B12">
              <w:rPr>
                <w:sz w:val="18"/>
                <w:vertAlign w:val="superscript"/>
              </w:rPr>
              <w:t>th</w:t>
            </w:r>
            <w:r>
              <w:rPr>
                <w:sz w:val="18"/>
              </w:rPr>
              <w:t xml:space="preserve"> Grade Reading</w:t>
            </w:r>
          </w:p>
        </w:tc>
        <w:tc>
          <w:tcPr>
            <w:tcW w:w="955" w:type="dxa"/>
            <w:vAlign w:val="center"/>
          </w:tcPr>
          <w:p w14:paraId="2083F64C" w14:textId="77777777" w:rsidR="00CC2434" w:rsidRPr="00A80F8F" w:rsidRDefault="00CC2434" w:rsidP="000C2FB1">
            <w:pPr>
              <w:jc w:val="center"/>
              <w:rPr>
                <w:sz w:val="18"/>
                <w:szCs w:val="18"/>
              </w:rPr>
            </w:pPr>
            <w:r>
              <w:rPr>
                <w:sz w:val="18"/>
                <w:szCs w:val="18"/>
              </w:rPr>
              <w:t>23</w:t>
            </w:r>
          </w:p>
        </w:tc>
        <w:tc>
          <w:tcPr>
            <w:tcW w:w="1870" w:type="dxa"/>
            <w:vAlign w:val="center"/>
          </w:tcPr>
          <w:p w14:paraId="018C983B" w14:textId="77777777" w:rsidR="00CC2434" w:rsidRPr="00A80F8F" w:rsidRDefault="00CC2434" w:rsidP="000C2FB1">
            <w:pPr>
              <w:jc w:val="center"/>
              <w:rPr>
                <w:sz w:val="18"/>
                <w:szCs w:val="18"/>
              </w:rPr>
            </w:pPr>
            <w:r>
              <w:rPr>
                <w:sz w:val="18"/>
                <w:szCs w:val="18"/>
              </w:rPr>
              <w:t>457.13</w:t>
            </w:r>
          </w:p>
        </w:tc>
        <w:tc>
          <w:tcPr>
            <w:tcW w:w="1870" w:type="dxa"/>
            <w:vAlign w:val="center"/>
          </w:tcPr>
          <w:p w14:paraId="09B8C204" w14:textId="77777777" w:rsidR="00CC2434" w:rsidRPr="00A80F8F" w:rsidRDefault="00CC2434" w:rsidP="000C2FB1">
            <w:pPr>
              <w:jc w:val="center"/>
              <w:rPr>
                <w:sz w:val="18"/>
                <w:szCs w:val="18"/>
              </w:rPr>
            </w:pPr>
            <w:r>
              <w:rPr>
                <w:sz w:val="18"/>
                <w:szCs w:val="18"/>
              </w:rPr>
              <w:t>43.48</w:t>
            </w:r>
          </w:p>
        </w:tc>
        <w:tc>
          <w:tcPr>
            <w:tcW w:w="1870" w:type="dxa"/>
            <w:vAlign w:val="center"/>
          </w:tcPr>
          <w:p w14:paraId="0FF7B7DF" w14:textId="77777777" w:rsidR="00CC2434" w:rsidRPr="00A80F8F" w:rsidRDefault="00CC2434" w:rsidP="000C2FB1">
            <w:pPr>
              <w:jc w:val="center"/>
              <w:rPr>
                <w:sz w:val="18"/>
                <w:szCs w:val="18"/>
              </w:rPr>
            </w:pPr>
            <w:r>
              <w:rPr>
                <w:sz w:val="18"/>
                <w:szCs w:val="18"/>
              </w:rPr>
              <w:t>56.52</w:t>
            </w:r>
          </w:p>
        </w:tc>
      </w:tr>
      <w:tr w:rsidR="00CC2434" w14:paraId="53EF8B32" w14:textId="77777777" w:rsidTr="000C2FB1">
        <w:tc>
          <w:tcPr>
            <w:tcW w:w="2785" w:type="dxa"/>
            <w:vAlign w:val="center"/>
          </w:tcPr>
          <w:p w14:paraId="4B3F8BDE" w14:textId="77777777" w:rsidR="00CC2434" w:rsidRPr="00A80F8F" w:rsidRDefault="00CC2434" w:rsidP="000C2FB1">
            <w:pPr>
              <w:jc w:val="right"/>
              <w:rPr>
                <w:sz w:val="18"/>
              </w:rPr>
            </w:pPr>
            <w:r>
              <w:rPr>
                <w:sz w:val="18"/>
              </w:rPr>
              <w:t>6</w:t>
            </w:r>
            <w:r w:rsidRPr="00876B12">
              <w:rPr>
                <w:sz w:val="18"/>
                <w:vertAlign w:val="superscript"/>
              </w:rPr>
              <w:t>th</w:t>
            </w:r>
            <w:r>
              <w:rPr>
                <w:sz w:val="18"/>
              </w:rPr>
              <w:t xml:space="preserve"> Grade Math</w:t>
            </w:r>
          </w:p>
        </w:tc>
        <w:tc>
          <w:tcPr>
            <w:tcW w:w="955" w:type="dxa"/>
            <w:vAlign w:val="center"/>
          </w:tcPr>
          <w:p w14:paraId="5FE593B5" w14:textId="77777777" w:rsidR="00CC2434" w:rsidRPr="00A80F8F" w:rsidRDefault="00CC2434" w:rsidP="000C2FB1">
            <w:pPr>
              <w:jc w:val="center"/>
              <w:rPr>
                <w:sz w:val="18"/>
                <w:szCs w:val="18"/>
              </w:rPr>
            </w:pPr>
            <w:r>
              <w:rPr>
                <w:sz w:val="18"/>
                <w:szCs w:val="18"/>
              </w:rPr>
              <w:t>9</w:t>
            </w:r>
          </w:p>
        </w:tc>
        <w:tc>
          <w:tcPr>
            <w:tcW w:w="1870" w:type="dxa"/>
            <w:vAlign w:val="center"/>
          </w:tcPr>
          <w:p w14:paraId="05607700" w14:textId="77777777" w:rsidR="00CC2434" w:rsidRPr="00A80F8F" w:rsidRDefault="00CC2434" w:rsidP="000C2FB1">
            <w:pPr>
              <w:jc w:val="center"/>
              <w:rPr>
                <w:sz w:val="18"/>
                <w:szCs w:val="18"/>
              </w:rPr>
            </w:pPr>
            <w:r>
              <w:rPr>
                <w:sz w:val="18"/>
                <w:szCs w:val="18"/>
              </w:rPr>
              <w:t>542.22</w:t>
            </w:r>
          </w:p>
        </w:tc>
        <w:tc>
          <w:tcPr>
            <w:tcW w:w="1870" w:type="dxa"/>
            <w:vAlign w:val="center"/>
          </w:tcPr>
          <w:p w14:paraId="60C1F238" w14:textId="77777777" w:rsidR="00CC2434" w:rsidRPr="00A80F8F" w:rsidRDefault="00CC2434" w:rsidP="000C2FB1">
            <w:pPr>
              <w:jc w:val="center"/>
              <w:rPr>
                <w:sz w:val="18"/>
                <w:szCs w:val="18"/>
              </w:rPr>
            </w:pPr>
            <w:r>
              <w:rPr>
                <w:sz w:val="18"/>
                <w:szCs w:val="18"/>
              </w:rPr>
              <w:t>77.78</w:t>
            </w:r>
          </w:p>
        </w:tc>
        <w:tc>
          <w:tcPr>
            <w:tcW w:w="1870" w:type="dxa"/>
            <w:vAlign w:val="center"/>
          </w:tcPr>
          <w:p w14:paraId="0B764988" w14:textId="77777777" w:rsidR="00CC2434" w:rsidRPr="00A80F8F" w:rsidRDefault="00CC2434" w:rsidP="000C2FB1">
            <w:pPr>
              <w:jc w:val="center"/>
              <w:rPr>
                <w:sz w:val="18"/>
                <w:szCs w:val="18"/>
              </w:rPr>
            </w:pPr>
            <w:r>
              <w:rPr>
                <w:sz w:val="18"/>
                <w:szCs w:val="18"/>
              </w:rPr>
              <w:t>22.22</w:t>
            </w:r>
          </w:p>
        </w:tc>
      </w:tr>
      <w:tr w:rsidR="00CC2434" w14:paraId="59C7910B" w14:textId="77777777" w:rsidTr="000C2FB1">
        <w:tc>
          <w:tcPr>
            <w:tcW w:w="2785" w:type="dxa"/>
            <w:vAlign w:val="center"/>
          </w:tcPr>
          <w:p w14:paraId="27BBDE20" w14:textId="77777777" w:rsidR="00CC2434" w:rsidRPr="00A80F8F" w:rsidRDefault="00CC2434" w:rsidP="000C2FB1">
            <w:pPr>
              <w:jc w:val="right"/>
              <w:rPr>
                <w:sz w:val="18"/>
              </w:rPr>
            </w:pPr>
            <w:r>
              <w:rPr>
                <w:sz w:val="18"/>
              </w:rPr>
              <w:t>7</w:t>
            </w:r>
            <w:r w:rsidRPr="00876B12">
              <w:rPr>
                <w:sz w:val="18"/>
                <w:vertAlign w:val="superscript"/>
              </w:rPr>
              <w:t>th</w:t>
            </w:r>
            <w:r>
              <w:rPr>
                <w:sz w:val="18"/>
              </w:rPr>
              <w:t xml:space="preserve"> Grade Math</w:t>
            </w:r>
          </w:p>
        </w:tc>
        <w:tc>
          <w:tcPr>
            <w:tcW w:w="955" w:type="dxa"/>
            <w:vAlign w:val="center"/>
          </w:tcPr>
          <w:p w14:paraId="6D4526BF" w14:textId="77777777" w:rsidR="00CC2434" w:rsidRPr="00A80F8F" w:rsidRDefault="00CC2434" w:rsidP="000C2FB1">
            <w:pPr>
              <w:jc w:val="center"/>
              <w:rPr>
                <w:sz w:val="18"/>
                <w:szCs w:val="18"/>
              </w:rPr>
            </w:pPr>
            <w:r>
              <w:rPr>
                <w:sz w:val="18"/>
                <w:szCs w:val="18"/>
              </w:rPr>
              <w:t>23</w:t>
            </w:r>
          </w:p>
        </w:tc>
        <w:tc>
          <w:tcPr>
            <w:tcW w:w="1870" w:type="dxa"/>
            <w:vAlign w:val="center"/>
          </w:tcPr>
          <w:p w14:paraId="10EC6546" w14:textId="77777777" w:rsidR="00CC2434" w:rsidRPr="00A80F8F" w:rsidRDefault="00CC2434" w:rsidP="000C2FB1">
            <w:pPr>
              <w:jc w:val="center"/>
              <w:rPr>
                <w:sz w:val="18"/>
                <w:szCs w:val="18"/>
              </w:rPr>
            </w:pPr>
            <w:r>
              <w:rPr>
                <w:sz w:val="18"/>
                <w:szCs w:val="18"/>
              </w:rPr>
              <w:t>542.43</w:t>
            </w:r>
          </w:p>
        </w:tc>
        <w:tc>
          <w:tcPr>
            <w:tcW w:w="1870" w:type="dxa"/>
            <w:vAlign w:val="center"/>
          </w:tcPr>
          <w:p w14:paraId="57F5F9E2" w14:textId="77777777" w:rsidR="00CC2434" w:rsidRPr="00A80F8F" w:rsidRDefault="00CC2434" w:rsidP="000C2FB1">
            <w:pPr>
              <w:jc w:val="center"/>
              <w:rPr>
                <w:sz w:val="18"/>
                <w:szCs w:val="18"/>
              </w:rPr>
            </w:pPr>
            <w:r>
              <w:rPr>
                <w:sz w:val="18"/>
                <w:szCs w:val="18"/>
              </w:rPr>
              <w:t>60.87</w:t>
            </w:r>
          </w:p>
        </w:tc>
        <w:tc>
          <w:tcPr>
            <w:tcW w:w="1870" w:type="dxa"/>
            <w:vAlign w:val="center"/>
          </w:tcPr>
          <w:p w14:paraId="12802992" w14:textId="77777777" w:rsidR="00CC2434" w:rsidRPr="00A80F8F" w:rsidRDefault="00CC2434" w:rsidP="000C2FB1">
            <w:pPr>
              <w:jc w:val="center"/>
              <w:rPr>
                <w:sz w:val="18"/>
                <w:szCs w:val="18"/>
              </w:rPr>
            </w:pPr>
            <w:r>
              <w:rPr>
                <w:sz w:val="18"/>
                <w:szCs w:val="18"/>
              </w:rPr>
              <w:t>39.13</w:t>
            </w:r>
          </w:p>
        </w:tc>
      </w:tr>
      <w:tr w:rsidR="00CC2434" w14:paraId="4C10D6A3" w14:textId="77777777" w:rsidTr="000C2FB1">
        <w:tc>
          <w:tcPr>
            <w:tcW w:w="2785" w:type="dxa"/>
            <w:vAlign w:val="center"/>
          </w:tcPr>
          <w:p w14:paraId="58142604" w14:textId="77777777" w:rsidR="00CC2434" w:rsidRDefault="00CC2434" w:rsidP="000C2FB1">
            <w:pPr>
              <w:jc w:val="right"/>
              <w:rPr>
                <w:sz w:val="18"/>
              </w:rPr>
            </w:pPr>
            <w:r>
              <w:rPr>
                <w:sz w:val="18"/>
              </w:rPr>
              <w:t>8</w:t>
            </w:r>
            <w:r w:rsidRPr="00876B12">
              <w:rPr>
                <w:sz w:val="18"/>
                <w:vertAlign w:val="superscript"/>
              </w:rPr>
              <w:t>th</w:t>
            </w:r>
            <w:r>
              <w:rPr>
                <w:sz w:val="18"/>
              </w:rPr>
              <w:t xml:space="preserve"> Grade Math</w:t>
            </w:r>
          </w:p>
        </w:tc>
        <w:tc>
          <w:tcPr>
            <w:tcW w:w="955" w:type="dxa"/>
            <w:vAlign w:val="center"/>
          </w:tcPr>
          <w:p w14:paraId="18034B2F" w14:textId="77777777" w:rsidR="00CC2434" w:rsidRPr="00A80F8F" w:rsidRDefault="00CC2434" w:rsidP="000C2FB1">
            <w:pPr>
              <w:jc w:val="center"/>
              <w:rPr>
                <w:sz w:val="18"/>
                <w:szCs w:val="18"/>
              </w:rPr>
            </w:pPr>
            <w:r>
              <w:rPr>
                <w:sz w:val="18"/>
                <w:szCs w:val="18"/>
              </w:rPr>
              <w:t>15</w:t>
            </w:r>
          </w:p>
        </w:tc>
        <w:tc>
          <w:tcPr>
            <w:tcW w:w="1870" w:type="dxa"/>
            <w:vAlign w:val="center"/>
          </w:tcPr>
          <w:p w14:paraId="51681AD9" w14:textId="77777777" w:rsidR="00CC2434" w:rsidRPr="00A80F8F" w:rsidRDefault="00CC2434" w:rsidP="000C2FB1">
            <w:pPr>
              <w:jc w:val="center"/>
              <w:rPr>
                <w:sz w:val="18"/>
                <w:szCs w:val="18"/>
              </w:rPr>
            </w:pPr>
            <w:r>
              <w:rPr>
                <w:sz w:val="18"/>
                <w:szCs w:val="18"/>
              </w:rPr>
              <w:t>531.00</w:t>
            </w:r>
          </w:p>
        </w:tc>
        <w:tc>
          <w:tcPr>
            <w:tcW w:w="1870" w:type="dxa"/>
            <w:vAlign w:val="center"/>
          </w:tcPr>
          <w:p w14:paraId="21DAC955" w14:textId="77777777" w:rsidR="00CC2434" w:rsidRPr="00A80F8F" w:rsidRDefault="00CC2434" w:rsidP="000C2FB1">
            <w:pPr>
              <w:jc w:val="center"/>
              <w:rPr>
                <w:sz w:val="18"/>
                <w:szCs w:val="18"/>
              </w:rPr>
            </w:pPr>
            <w:r>
              <w:rPr>
                <w:sz w:val="18"/>
                <w:szCs w:val="18"/>
              </w:rPr>
              <w:t>93.33</w:t>
            </w:r>
          </w:p>
        </w:tc>
        <w:tc>
          <w:tcPr>
            <w:tcW w:w="1870" w:type="dxa"/>
            <w:vAlign w:val="center"/>
          </w:tcPr>
          <w:p w14:paraId="616A74D4" w14:textId="77777777" w:rsidR="00CC2434" w:rsidRPr="00A80F8F" w:rsidRDefault="00CC2434" w:rsidP="000C2FB1">
            <w:pPr>
              <w:jc w:val="center"/>
              <w:rPr>
                <w:sz w:val="18"/>
                <w:szCs w:val="18"/>
              </w:rPr>
            </w:pPr>
            <w:r>
              <w:rPr>
                <w:sz w:val="18"/>
                <w:szCs w:val="18"/>
              </w:rPr>
              <w:t>6.67</w:t>
            </w:r>
          </w:p>
        </w:tc>
      </w:tr>
      <w:tr w:rsidR="00CC2434" w14:paraId="64F52868" w14:textId="77777777" w:rsidTr="000C2FB1">
        <w:tc>
          <w:tcPr>
            <w:tcW w:w="2785" w:type="dxa"/>
            <w:vAlign w:val="center"/>
          </w:tcPr>
          <w:p w14:paraId="3D06FB17" w14:textId="77777777" w:rsidR="00CC2434" w:rsidRDefault="00CC2434" w:rsidP="000C2FB1">
            <w:pPr>
              <w:jc w:val="right"/>
              <w:rPr>
                <w:sz w:val="18"/>
              </w:rPr>
            </w:pPr>
            <w:r>
              <w:rPr>
                <w:sz w:val="18"/>
              </w:rPr>
              <w:t>8</w:t>
            </w:r>
            <w:r w:rsidRPr="00876B12">
              <w:rPr>
                <w:sz w:val="18"/>
                <w:vertAlign w:val="superscript"/>
              </w:rPr>
              <w:t>th</w:t>
            </w:r>
            <w:r>
              <w:rPr>
                <w:sz w:val="18"/>
              </w:rPr>
              <w:t xml:space="preserve"> Grade Science</w:t>
            </w:r>
          </w:p>
        </w:tc>
        <w:tc>
          <w:tcPr>
            <w:tcW w:w="955" w:type="dxa"/>
            <w:vAlign w:val="center"/>
          </w:tcPr>
          <w:p w14:paraId="4FDB6CF5" w14:textId="77777777" w:rsidR="00CC2434" w:rsidRPr="00A80F8F" w:rsidRDefault="00CC2434" w:rsidP="000C2FB1">
            <w:pPr>
              <w:jc w:val="center"/>
              <w:rPr>
                <w:sz w:val="18"/>
                <w:szCs w:val="18"/>
              </w:rPr>
            </w:pPr>
            <w:r>
              <w:rPr>
                <w:sz w:val="18"/>
                <w:szCs w:val="18"/>
              </w:rPr>
              <w:t>23</w:t>
            </w:r>
          </w:p>
        </w:tc>
        <w:tc>
          <w:tcPr>
            <w:tcW w:w="1870" w:type="dxa"/>
            <w:vAlign w:val="center"/>
          </w:tcPr>
          <w:p w14:paraId="2FEFD769" w14:textId="77777777" w:rsidR="00CC2434" w:rsidRPr="00A80F8F" w:rsidRDefault="00CC2434" w:rsidP="000C2FB1">
            <w:pPr>
              <w:jc w:val="center"/>
              <w:rPr>
                <w:sz w:val="18"/>
                <w:szCs w:val="18"/>
              </w:rPr>
            </w:pPr>
            <w:r>
              <w:rPr>
                <w:sz w:val="18"/>
                <w:szCs w:val="18"/>
              </w:rPr>
              <w:t>252.65</w:t>
            </w:r>
          </w:p>
        </w:tc>
        <w:tc>
          <w:tcPr>
            <w:tcW w:w="1870" w:type="dxa"/>
            <w:vAlign w:val="center"/>
          </w:tcPr>
          <w:p w14:paraId="1F2799E8" w14:textId="77777777" w:rsidR="00CC2434" w:rsidRPr="00A80F8F" w:rsidRDefault="00CC2434" w:rsidP="000C2FB1">
            <w:pPr>
              <w:jc w:val="center"/>
              <w:rPr>
                <w:sz w:val="18"/>
                <w:szCs w:val="18"/>
              </w:rPr>
            </w:pPr>
            <w:r>
              <w:rPr>
                <w:sz w:val="18"/>
                <w:szCs w:val="18"/>
              </w:rPr>
              <w:t>21.74</w:t>
            </w:r>
          </w:p>
        </w:tc>
        <w:tc>
          <w:tcPr>
            <w:tcW w:w="1870" w:type="dxa"/>
            <w:vAlign w:val="center"/>
          </w:tcPr>
          <w:p w14:paraId="4D482D0D" w14:textId="77777777" w:rsidR="00CC2434" w:rsidRPr="00A80F8F" w:rsidRDefault="00CC2434" w:rsidP="000C2FB1">
            <w:pPr>
              <w:jc w:val="center"/>
              <w:rPr>
                <w:sz w:val="18"/>
                <w:szCs w:val="18"/>
              </w:rPr>
            </w:pPr>
            <w:r>
              <w:rPr>
                <w:sz w:val="18"/>
                <w:szCs w:val="18"/>
              </w:rPr>
              <w:t>78.26</w:t>
            </w:r>
          </w:p>
        </w:tc>
      </w:tr>
      <w:tr w:rsidR="00CC2434" w14:paraId="3F2D392E" w14:textId="77777777" w:rsidTr="000C2FB1">
        <w:tc>
          <w:tcPr>
            <w:tcW w:w="2785" w:type="dxa"/>
            <w:vAlign w:val="center"/>
          </w:tcPr>
          <w:p w14:paraId="2C1C1212" w14:textId="77777777" w:rsidR="00CC2434" w:rsidRDefault="00CC2434" w:rsidP="000C2FB1">
            <w:pPr>
              <w:jc w:val="right"/>
              <w:rPr>
                <w:sz w:val="18"/>
              </w:rPr>
            </w:pPr>
            <w:r>
              <w:rPr>
                <w:sz w:val="18"/>
              </w:rPr>
              <w:t>Math I</w:t>
            </w:r>
          </w:p>
        </w:tc>
        <w:tc>
          <w:tcPr>
            <w:tcW w:w="955" w:type="dxa"/>
            <w:vAlign w:val="center"/>
          </w:tcPr>
          <w:p w14:paraId="4BEE12C8" w14:textId="77777777" w:rsidR="00CC2434" w:rsidRDefault="00CC2434" w:rsidP="000C2FB1">
            <w:pPr>
              <w:jc w:val="center"/>
              <w:rPr>
                <w:sz w:val="18"/>
                <w:szCs w:val="18"/>
              </w:rPr>
            </w:pPr>
            <w:r>
              <w:rPr>
                <w:sz w:val="18"/>
                <w:szCs w:val="18"/>
              </w:rPr>
              <w:t>8</w:t>
            </w:r>
          </w:p>
        </w:tc>
        <w:tc>
          <w:tcPr>
            <w:tcW w:w="1870" w:type="dxa"/>
            <w:vAlign w:val="center"/>
          </w:tcPr>
          <w:p w14:paraId="07535F1F" w14:textId="77777777" w:rsidR="00CC2434" w:rsidRPr="00A80F8F" w:rsidRDefault="00CC2434" w:rsidP="000C2FB1">
            <w:pPr>
              <w:jc w:val="center"/>
              <w:rPr>
                <w:sz w:val="18"/>
                <w:szCs w:val="18"/>
              </w:rPr>
            </w:pPr>
            <w:r>
              <w:rPr>
                <w:sz w:val="18"/>
                <w:szCs w:val="18"/>
              </w:rPr>
              <w:t>553.63</w:t>
            </w:r>
          </w:p>
        </w:tc>
        <w:tc>
          <w:tcPr>
            <w:tcW w:w="1870" w:type="dxa"/>
            <w:vAlign w:val="center"/>
          </w:tcPr>
          <w:p w14:paraId="2474E149" w14:textId="77777777" w:rsidR="00CC2434" w:rsidRPr="00A80F8F" w:rsidRDefault="00CC2434" w:rsidP="000C2FB1">
            <w:pPr>
              <w:jc w:val="center"/>
              <w:rPr>
                <w:sz w:val="18"/>
                <w:szCs w:val="18"/>
              </w:rPr>
            </w:pPr>
            <w:r>
              <w:rPr>
                <w:sz w:val="18"/>
                <w:szCs w:val="18"/>
              </w:rPr>
              <w:t>25.00</w:t>
            </w:r>
          </w:p>
        </w:tc>
        <w:tc>
          <w:tcPr>
            <w:tcW w:w="1870" w:type="dxa"/>
            <w:vAlign w:val="center"/>
          </w:tcPr>
          <w:p w14:paraId="32F369C3" w14:textId="77777777" w:rsidR="00CC2434" w:rsidRPr="00A80F8F" w:rsidRDefault="00CC2434" w:rsidP="000C2FB1">
            <w:pPr>
              <w:jc w:val="center"/>
              <w:rPr>
                <w:sz w:val="18"/>
                <w:szCs w:val="18"/>
              </w:rPr>
            </w:pPr>
            <w:r>
              <w:rPr>
                <w:sz w:val="18"/>
                <w:szCs w:val="18"/>
              </w:rPr>
              <w:t>75.00</w:t>
            </w:r>
          </w:p>
        </w:tc>
      </w:tr>
      <w:tr w:rsidR="00CC2434" w14:paraId="60C3004D" w14:textId="77777777" w:rsidTr="000C2FB1">
        <w:tc>
          <w:tcPr>
            <w:tcW w:w="9350" w:type="dxa"/>
            <w:gridSpan w:val="5"/>
            <w:vAlign w:val="center"/>
          </w:tcPr>
          <w:p w14:paraId="44F75D4C" w14:textId="77777777" w:rsidR="00CC2434" w:rsidRPr="00A80F8F" w:rsidRDefault="00CC2434" w:rsidP="000C2FB1">
            <w:pPr>
              <w:jc w:val="center"/>
              <w:rPr>
                <w:i/>
                <w:sz w:val="18"/>
                <w:szCs w:val="18"/>
              </w:rPr>
            </w:pPr>
            <w:r>
              <w:rPr>
                <w:i/>
                <w:sz w:val="18"/>
                <w:szCs w:val="18"/>
              </w:rPr>
              <w:t>All Other Jackson County Students</w:t>
            </w:r>
          </w:p>
        </w:tc>
      </w:tr>
      <w:tr w:rsidR="00CC2434" w14:paraId="25358CD0" w14:textId="77777777" w:rsidTr="000C2FB1">
        <w:tc>
          <w:tcPr>
            <w:tcW w:w="2785" w:type="dxa"/>
            <w:vAlign w:val="center"/>
          </w:tcPr>
          <w:p w14:paraId="33EF860E" w14:textId="77777777" w:rsidR="00CC2434" w:rsidRPr="00A80F8F" w:rsidRDefault="00CC2434" w:rsidP="000C2FB1">
            <w:pPr>
              <w:jc w:val="right"/>
              <w:rPr>
                <w:sz w:val="18"/>
              </w:rPr>
            </w:pPr>
            <w:r>
              <w:rPr>
                <w:sz w:val="18"/>
              </w:rPr>
              <w:t>6</w:t>
            </w:r>
            <w:r w:rsidRPr="00876B12">
              <w:rPr>
                <w:sz w:val="18"/>
                <w:vertAlign w:val="superscript"/>
              </w:rPr>
              <w:t>th</w:t>
            </w:r>
            <w:r>
              <w:rPr>
                <w:sz w:val="18"/>
              </w:rPr>
              <w:t xml:space="preserve"> Grade Reading</w:t>
            </w:r>
          </w:p>
        </w:tc>
        <w:tc>
          <w:tcPr>
            <w:tcW w:w="955" w:type="dxa"/>
            <w:vAlign w:val="center"/>
          </w:tcPr>
          <w:p w14:paraId="06F69923" w14:textId="77777777" w:rsidR="00CC2434" w:rsidRPr="00A80F8F" w:rsidRDefault="00CC2434" w:rsidP="000C2FB1">
            <w:pPr>
              <w:jc w:val="center"/>
              <w:rPr>
                <w:sz w:val="18"/>
                <w:szCs w:val="18"/>
              </w:rPr>
            </w:pPr>
            <w:r>
              <w:rPr>
                <w:sz w:val="18"/>
                <w:szCs w:val="18"/>
              </w:rPr>
              <w:t>290</w:t>
            </w:r>
          </w:p>
        </w:tc>
        <w:tc>
          <w:tcPr>
            <w:tcW w:w="1870" w:type="dxa"/>
            <w:vAlign w:val="center"/>
          </w:tcPr>
          <w:p w14:paraId="3D5D8338" w14:textId="77777777" w:rsidR="00CC2434" w:rsidRPr="00A80F8F" w:rsidRDefault="00CC2434" w:rsidP="000C2FB1">
            <w:pPr>
              <w:jc w:val="center"/>
              <w:rPr>
                <w:sz w:val="18"/>
                <w:szCs w:val="18"/>
              </w:rPr>
            </w:pPr>
            <w:r>
              <w:rPr>
                <w:sz w:val="18"/>
                <w:szCs w:val="18"/>
              </w:rPr>
              <w:t>452.36</w:t>
            </w:r>
          </w:p>
        </w:tc>
        <w:tc>
          <w:tcPr>
            <w:tcW w:w="1870" w:type="dxa"/>
            <w:vAlign w:val="center"/>
          </w:tcPr>
          <w:p w14:paraId="477FDB54" w14:textId="77777777" w:rsidR="00CC2434" w:rsidRPr="00A80F8F" w:rsidRDefault="00CC2434" w:rsidP="000C2FB1">
            <w:pPr>
              <w:jc w:val="center"/>
              <w:rPr>
                <w:sz w:val="18"/>
                <w:szCs w:val="18"/>
              </w:rPr>
            </w:pPr>
            <w:r>
              <w:rPr>
                <w:sz w:val="18"/>
                <w:szCs w:val="18"/>
              </w:rPr>
              <w:t>40.34</w:t>
            </w:r>
          </w:p>
        </w:tc>
        <w:tc>
          <w:tcPr>
            <w:tcW w:w="1870" w:type="dxa"/>
            <w:vAlign w:val="center"/>
          </w:tcPr>
          <w:p w14:paraId="0F0DF325" w14:textId="77777777" w:rsidR="00CC2434" w:rsidRPr="00A80F8F" w:rsidRDefault="00CC2434" w:rsidP="000C2FB1">
            <w:pPr>
              <w:jc w:val="center"/>
              <w:rPr>
                <w:sz w:val="18"/>
                <w:szCs w:val="18"/>
              </w:rPr>
            </w:pPr>
            <w:r>
              <w:rPr>
                <w:sz w:val="18"/>
                <w:szCs w:val="18"/>
              </w:rPr>
              <w:t>59.66</w:t>
            </w:r>
          </w:p>
        </w:tc>
      </w:tr>
      <w:tr w:rsidR="00CC2434" w14:paraId="5D6AFA46" w14:textId="77777777" w:rsidTr="000C2FB1">
        <w:tc>
          <w:tcPr>
            <w:tcW w:w="2785" w:type="dxa"/>
            <w:vAlign w:val="center"/>
          </w:tcPr>
          <w:p w14:paraId="1267CE26" w14:textId="77777777" w:rsidR="00CC2434" w:rsidRPr="00A80F8F" w:rsidRDefault="00CC2434" w:rsidP="000C2FB1">
            <w:pPr>
              <w:jc w:val="right"/>
              <w:rPr>
                <w:sz w:val="18"/>
              </w:rPr>
            </w:pPr>
            <w:r>
              <w:rPr>
                <w:sz w:val="18"/>
              </w:rPr>
              <w:t>7</w:t>
            </w:r>
            <w:r w:rsidRPr="00876B12">
              <w:rPr>
                <w:sz w:val="18"/>
                <w:vertAlign w:val="superscript"/>
              </w:rPr>
              <w:t>th</w:t>
            </w:r>
            <w:r>
              <w:rPr>
                <w:sz w:val="18"/>
              </w:rPr>
              <w:t xml:space="preserve"> Grade Reading</w:t>
            </w:r>
          </w:p>
        </w:tc>
        <w:tc>
          <w:tcPr>
            <w:tcW w:w="955" w:type="dxa"/>
            <w:vAlign w:val="center"/>
          </w:tcPr>
          <w:p w14:paraId="335C3F54" w14:textId="77777777" w:rsidR="00CC2434" w:rsidRPr="00A80F8F" w:rsidRDefault="00CC2434" w:rsidP="000C2FB1">
            <w:pPr>
              <w:jc w:val="center"/>
              <w:rPr>
                <w:sz w:val="18"/>
                <w:szCs w:val="18"/>
              </w:rPr>
            </w:pPr>
            <w:r>
              <w:rPr>
                <w:sz w:val="18"/>
                <w:szCs w:val="18"/>
              </w:rPr>
              <w:t>240</w:t>
            </w:r>
          </w:p>
        </w:tc>
        <w:tc>
          <w:tcPr>
            <w:tcW w:w="1870" w:type="dxa"/>
            <w:vAlign w:val="center"/>
          </w:tcPr>
          <w:p w14:paraId="74F643D7" w14:textId="77777777" w:rsidR="00CC2434" w:rsidRPr="00A80F8F" w:rsidRDefault="00CC2434" w:rsidP="000C2FB1">
            <w:pPr>
              <w:jc w:val="center"/>
              <w:rPr>
                <w:sz w:val="18"/>
                <w:szCs w:val="18"/>
              </w:rPr>
            </w:pPr>
            <w:r>
              <w:rPr>
                <w:sz w:val="18"/>
                <w:szCs w:val="18"/>
              </w:rPr>
              <w:t>453.18</w:t>
            </w:r>
          </w:p>
        </w:tc>
        <w:tc>
          <w:tcPr>
            <w:tcW w:w="1870" w:type="dxa"/>
            <w:vAlign w:val="center"/>
          </w:tcPr>
          <w:p w14:paraId="26959681" w14:textId="77777777" w:rsidR="00CC2434" w:rsidRPr="00A80F8F" w:rsidRDefault="00CC2434" w:rsidP="000C2FB1">
            <w:pPr>
              <w:jc w:val="center"/>
              <w:rPr>
                <w:sz w:val="18"/>
                <w:szCs w:val="18"/>
              </w:rPr>
            </w:pPr>
            <w:r>
              <w:rPr>
                <w:sz w:val="18"/>
                <w:szCs w:val="18"/>
              </w:rPr>
              <w:t>46.25</w:t>
            </w:r>
          </w:p>
        </w:tc>
        <w:tc>
          <w:tcPr>
            <w:tcW w:w="1870" w:type="dxa"/>
            <w:vAlign w:val="center"/>
          </w:tcPr>
          <w:p w14:paraId="53BB8F08" w14:textId="77777777" w:rsidR="00CC2434" w:rsidRPr="00A80F8F" w:rsidRDefault="00CC2434" w:rsidP="000C2FB1">
            <w:pPr>
              <w:jc w:val="center"/>
              <w:rPr>
                <w:sz w:val="18"/>
                <w:szCs w:val="18"/>
              </w:rPr>
            </w:pPr>
            <w:r>
              <w:rPr>
                <w:sz w:val="18"/>
                <w:szCs w:val="18"/>
              </w:rPr>
              <w:t>53.75</w:t>
            </w:r>
          </w:p>
        </w:tc>
      </w:tr>
      <w:tr w:rsidR="00CC2434" w14:paraId="346166A0" w14:textId="77777777" w:rsidTr="000C2FB1">
        <w:tc>
          <w:tcPr>
            <w:tcW w:w="2785" w:type="dxa"/>
            <w:vAlign w:val="center"/>
          </w:tcPr>
          <w:p w14:paraId="6C103D7F" w14:textId="77777777" w:rsidR="00CC2434" w:rsidRPr="00A80F8F" w:rsidRDefault="00CC2434" w:rsidP="000C2FB1">
            <w:pPr>
              <w:jc w:val="right"/>
              <w:rPr>
                <w:sz w:val="18"/>
              </w:rPr>
            </w:pPr>
            <w:r>
              <w:rPr>
                <w:sz w:val="18"/>
              </w:rPr>
              <w:t>8</w:t>
            </w:r>
            <w:r w:rsidRPr="00876B12">
              <w:rPr>
                <w:sz w:val="18"/>
                <w:vertAlign w:val="superscript"/>
              </w:rPr>
              <w:t>th</w:t>
            </w:r>
            <w:r>
              <w:rPr>
                <w:sz w:val="18"/>
              </w:rPr>
              <w:t xml:space="preserve"> Grade Reading</w:t>
            </w:r>
          </w:p>
        </w:tc>
        <w:tc>
          <w:tcPr>
            <w:tcW w:w="955" w:type="dxa"/>
            <w:vAlign w:val="center"/>
          </w:tcPr>
          <w:p w14:paraId="46142AD2" w14:textId="77777777" w:rsidR="00CC2434" w:rsidRPr="00A80F8F" w:rsidRDefault="00CC2434" w:rsidP="000C2FB1">
            <w:pPr>
              <w:jc w:val="center"/>
              <w:rPr>
                <w:sz w:val="18"/>
                <w:szCs w:val="18"/>
              </w:rPr>
            </w:pPr>
            <w:r>
              <w:rPr>
                <w:sz w:val="18"/>
                <w:szCs w:val="18"/>
              </w:rPr>
              <w:t>258</w:t>
            </w:r>
          </w:p>
        </w:tc>
        <w:tc>
          <w:tcPr>
            <w:tcW w:w="1870" w:type="dxa"/>
            <w:vAlign w:val="center"/>
          </w:tcPr>
          <w:p w14:paraId="0EBB9388" w14:textId="77777777" w:rsidR="00CC2434" w:rsidRPr="00A80F8F" w:rsidRDefault="00CC2434" w:rsidP="000C2FB1">
            <w:pPr>
              <w:jc w:val="center"/>
              <w:rPr>
                <w:sz w:val="18"/>
                <w:szCs w:val="18"/>
              </w:rPr>
            </w:pPr>
            <w:r>
              <w:rPr>
                <w:sz w:val="18"/>
                <w:szCs w:val="18"/>
              </w:rPr>
              <w:t>456.96</w:t>
            </w:r>
          </w:p>
        </w:tc>
        <w:tc>
          <w:tcPr>
            <w:tcW w:w="1870" w:type="dxa"/>
            <w:vAlign w:val="center"/>
          </w:tcPr>
          <w:p w14:paraId="4D1788B2" w14:textId="77777777" w:rsidR="00CC2434" w:rsidRPr="00A80F8F" w:rsidRDefault="00CC2434" w:rsidP="000C2FB1">
            <w:pPr>
              <w:jc w:val="center"/>
              <w:rPr>
                <w:sz w:val="18"/>
                <w:szCs w:val="18"/>
              </w:rPr>
            </w:pPr>
            <w:r>
              <w:rPr>
                <w:sz w:val="18"/>
                <w:szCs w:val="18"/>
              </w:rPr>
              <w:t>50.00</w:t>
            </w:r>
          </w:p>
        </w:tc>
        <w:tc>
          <w:tcPr>
            <w:tcW w:w="1870" w:type="dxa"/>
            <w:vAlign w:val="center"/>
          </w:tcPr>
          <w:p w14:paraId="1AE3E8A9" w14:textId="77777777" w:rsidR="00CC2434" w:rsidRPr="00A80F8F" w:rsidRDefault="00CC2434" w:rsidP="000C2FB1">
            <w:pPr>
              <w:jc w:val="center"/>
              <w:rPr>
                <w:sz w:val="18"/>
                <w:szCs w:val="18"/>
              </w:rPr>
            </w:pPr>
            <w:r>
              <w:rPr>
                <w:sz w:val="18"/>
                <w:szCs w:val="18"/>
              </w:rPr>
              <w:t>50.00</w:t>
            </w:r>
          </w:p>
        </w:tc>
      </w:tr>
      <w:tr w:rsidR="00CC2434" w14:paraId="6FF5DD0F" w14:textId="77777777" w:rsidTr="000C2FB1">
        <w:tc>
          <w:tcPr>
            <w:tcW w:w="2785" w:type="dxa"/>
            <w:vAlign w:val="center"/>
          </w:tcPr>
          <w:p w14:paraId="17AAC9B1" w14:textId="77777777" w:rsidR="00CC2434" w:rsidRDefault="00CC2434" w:rsidP="000C2FB1">
            <w:pPr>
              <w:jc w:val="right"/>
              <w:rPr>
                <w:sz w:val="18"/>
              </w:rPr>
            </w:pPr>
            <w:r>
              <w:rPr>
                <w:sz w:val="18"/>
              </w:rPr>
              <w:t>6</w:t>
            </w:r>
            <w:r w:rsidRPr="00876B12">
              <w:rPr>
                <w:sz w:val="18"/>
                <w:vertAlign w:val="superscript"/>
              </w:rPr>
              <w:t>th</w:t>
            </w:r>
            <w:r>
              <w:rPr>
                <w:sz w:val="18"/>
              </w:rPr>
              <w:t xml:space="preserve"> Grade Math</w:t>
            </w:r>
          </w:p>
        </w:tc>
        <w:tc>
          <w:tcPr>
            <w:tcW w:w="955" w:type="dxa"/>
            <w:vAlign w:val="center"/>
          </w:tcPr>
          <w:p w14:paraId="0E083C4F" w14:textId="77777777" w:rsidR="00CC2434" w:rsidRPr="00A80F8F" w:rsidRDefault="00CC2434" w:rsidP="000C2FB1">
            <w:pPr>
              <w:jc w:val="center"/>
              <w:rPr>
                <w:sz w:val="18"/>
                <w:szCs w:val="18"/>
              </w:rPr>
            </w:pPr>
            <w:r>
              <w:rPr>
                <w:sz w:val="18"/>
                <w:szCs w:val="18"/>
              </w:rPr>
              <w:t>290</w:t>
            </w:r>
          </w:p>
        </w:tc>
        <w:tc>
          <w:tcPr>
            <w:tcW w:w="1870" w:type="dxa"/>
            <w:vAlign w:val="center"/>
          </w:tcPr>
          <w:p w14:paraId="6CFE4E3B" w14:textId="77777777" w:rsidR="00CC2434" w:rsidRPr="00A80F8F" w:rsidRDefault="00CC2434" w:rsidP="000C2FB1">
            <w:pPr>
              <w:jc w:val="center"/>
              <w:rPr>
                <w:sz w:val="18"/>
                <w:szCs w:val="18"/>
              </w:rPr>
            </w:pPr>
            <w:r>
              <w:rPr>
                <w:sz w:val="18"/>
                <w:szCs w:val="18"/>
              </w:rPr>
              <w:t>547.26</w:t>
            </w:r>
          </w:p>
        </w:tc>
        <w:tc>
          <w:tcPr>
            <w:tcW w:w="1870" w:type="dxa"/>
            <w:vAlign w:val="center"/>
          </w:tcPr>
          <w:p w14:paraId="730C1BBA" w14:textId="77777777" w:rsidR="00CC2434" w:rsidRPr="00A80F8F" w:rsidRDefault="00CC2434" w:rsidP="000C2FB1">
            <w:pPr>
              <w:jc w:val="center"/>
              <w:rPr>
                <w:sz w:val="18"/>
                <w:szCs w:val="18"/>
              </w:rPr>
            </w:pPr>
            <w:r>
              <w:rPr>
                <w:sz w:val="18"/>
                <w:szCs w:val="18"/>
              </w:rPr>
              <w:t>42.76</w:t>
            </w:r>
          </w:p>
        </w:tc>
        <w:tc>
          <w:tcPr>
            <w:tcW w:w="1870" w:type="dxa"/>
            <w:vAlign w:val="center"/>
          </w:tcPr>
          <w:p w14:paraId="329096CC" w14:textId="77777777" w:rsidR="00CC2434" w:rsidRPr="00A80F8F" w:rsidRDefault="00CC2434" w:rsidP="000C2FB1">
            <w:pPr>
              <w:jc w:val="center"/>
              <w:rPr>
                <w:sz w:val="18"/>
                <w:szCs w:val="18"/>
              </w:rPr>
            </w:pPr>
            <w:r>
              <w:rPr>
                <w:sz w:val="18"/>
                <w:szCs w:val="18"/>
              </w:rPr>
              <w:t>57.24</w:t>
            </w:r>
          </w:p>
        </w:tc>
      </w:tr>
      <w:tr w:rsidR="00CC2434" w14:paraId="5008B8EE" w14:textId="77777777" w:rsidTr="000C2FB1">
        <w:tc>
          <w:tcPr>
            <w:tcW w:w="2785" w:type="dxa"/>
            <w:vAlign w:val="center"/>
          </w:tcPr>
          <w:p w14:paraId="462E7731" w14:textId="77777777" w:rsidR="00CC2434" w:rsidRPr="00A80F8F" w:rsidRDefault="00CC2434" w:rsidP="000C2FB1">
            <w:pPr>
              <w:jc w:val="right"/>
              <w:rPr>
                <w:sz w:val="18"/>
              </w:rPr>
            </w:pPr>
            <w:r>
              <w:rPr>
                <w:sz w:val="18"/>
              </w:rPr>
              <w:t>7</w:t>
            </w:r>
            <w:r w:rsidRPr="00876B12">
              <w:rPr>
                <w:sz w:val="18"/>
                <w:vertAlign w:val="superscript"/>
              </w:rPr>
              <w:t>th</w:t>
            </w:r>
            <w:r>
              <w:rPr>
                <w:sz w:val="18"/>
              </w:rPr>
              <w:t xml:space="preserve"> Grade Math</w:t>
            </w:r>
          </w:p>
        </w:tc>
        <w:tc>
          <w:tcPr>
            <w:tcW w:w="955" w:type="dxa"/>
            <w:vAlign w:val="center"/>
          </w:tcPr>
          <w:p w14:paraId="7F9F7E9E" w14:textId="77777777" w:rsidR="00CC2434" w:rsidRPr="00A80F8F" w:rsidRDefault="00CC2434" w:rsidP="000C2FB1">
            <w:pPr>
              <w:jc w:val="center"/>
              <w:rPr>
                <w:sz w:val="18"/>
                <w:szCs w:val="18"/>
              </w:rPr>
            </w:pPr>
            <w:r>
              <w:rPr>
                <w:sz w:val="18"/>
                <w:szCs w:val="18"/>
              </w:rPr>
              <w:t>240</w:t>
            </w:r>
          </w:p>
        </w:tc>
        <w:tc>
          <w:tcPr>
            <w:tcW w:w="1870" w:type="dxa"/>
            <w:vAlign w:val="center"/>
          </w:tcPr>
          <w:p w14:paraId="24C98237" w14:textId="77777777" w:rsidR="00CC2434" w:rsidRPr="00A80F8F" w:rsidRDefault="00CC2434" w:rsidP="000C2FB1">
            <w:pPr>
              <w:jc w:val="center"/>
              <w:rPr>
                <w:sz w:val="18"/>
                <w:szCs w:val="18"/>
              </w:rPr>
            </w:pPr>
            <w:r>
              <w:rPr>
                <w:sz w:val="18"/>
                <w:szCs w:val="18"/>
              </w:rPr>
              <w:t>545.85</w:t>
            </w:r>
          </w:p>
        </w:tc>
        <w:tc>
          <w:tcPr>
            <w:tcW w:w="1870" w:type="dxa"/>
            <w:vAlign w:val="center"/>
          </w:tcPr>
          <w:p w14:paraId="6195338C" w14:textId="77777777" w:rsidR="00CC2434" w:rsidRPr="00A80F8F" w:rsidRDefault="00CC2434" w:rsidP="000C2FB1">
            <w:pPr>
              <w:jc w:val="center"/>
              <w:rPr>
                <w:sz w:val="18"/>
                <w:szCs w:val="18"/>
              </w:rPr>
            </w:pPr>
            <w:r>
              <w:rPr>
                <w:sz w:val="18"/>
                <w:szCs w:val="18"/>
              </w:rPr>
              <w:t>50.00</w:t>
            </w:r>
          </w:p>
        </w:tc>
        <w:tc>
          <w:tcPr>
            <w:tcW w:w="1870" w:type="dxa"/>
            <w:vAlign w:val="center"/>
          </w:tcPr>
          <w:p w14:paraId="33E76B36" w14:textId="77777777" w:rsidR="00CC2434" w:rsidRPr="00A80F8F" w:rsidRDefault="00CC2434" w:rsidP="000C2FB1">
            <w:pPr>
              <w:jc w:val="center"/>
              <w:rPr>
                <w:sz w:val="18"/>
                <w:szCs w:val="18"/>
              </w:rPr>
            </w:pPr>
            <w:r>
              <w:rPr>
                <w:sz w:val="18"/>
                <w:szCs w:val="18"/>
              </w:rPr>
              <w:t>50.00</w:t>
            </w:r>
          </w:p>
        </w:tc>
      </w:tr>
      <w:tr w:rsidR="00CC2434" w14:paraId="3AB01360" w14:textId="77777777" w:rsidTr="000C2FB1">
        <w:tc>
          <w:tcPr>
            <w:tcW w:w="2785" w:type="dxa"/>
            <w:vAlign w:val="center"/>
          </w:tcPr>
          <w:p w14:paraId="79AB52C8" w14:textId="77777777" w:rsidR="00CC2434" w:rsidRPr="00A80F8F" w:rsidRDefault="00CC2434" w:rsidP="000C2FB1">
            <w:pPr>
              <w:jc w:val="right"/>
              <w:rPr>
                <w:sz w:val="18"/>
              </w:rPr>
            </w:pPr>
            <w:r>
              <w:rPr>
                <w:sz w:val="18"/>
              </w:rPr>
              <w:t>8</w:t>
            </w:r>
            <w:r w:rsidRPr="00876B12">
              <w:rPr>
                <w:sz w:val="18"/>
                <w:vertAlign w:val="superscript"/>
              </w:rPr>
              <w:t>th</w:t>
            </w:r>
            <w:r>
              <w:rPr>
                <w:sz w:val="18"/>
              </w:rPr>
              <w:t xml:space="preserve"> Grade Math</w:t>
            </w:r>
          </w:p>
        </w:tc>
        <w:tc>
          <w:tcPr>
            <w:tcW w:w="955" w:type="dxa"/>
            <w:vAlign w:val="center"/>
          </w:tcPr>
          <w:p w14:paraId="3C93B812" w14:textId="77777777" w:rsidR="00CC2434" w:rsidRPr="00A80F8F" w:rsidRDefault="00CC2434" w:rsidP="000C2FB1">
            <w:pPr>
              <w:jc w:val="center"/>
              <w:rPr>
                <w:sz w:val="18"/>
                <w:szCs w:val="18"/>
              </w:rPr>
            </w:pPr>
            <w:r>
              <w:rPr>
                <w:sz w:val="18"/>
                <w:szCs w:val="18"/>
              </w:rPr>
              <w:t>190</w:t>
            </w:r>
          </w:p>
        </w:tc>
        <w:tc>
          <w:tcPr>
            <w:tcW w:w="1870" w:type="dxa"/>
            <w:vAlign w:val="center"/>
          </w:tcPr>
          <w:p w14:paraId="0A09564C" w14:textId="77777777" w:rsidR="00CC2434" w:rsidRPr="00A80F8F" w:rsidRDefault="00CC2434" w:rsidP="000C2FB1">
            <w:pPr>
              <w:jc w:val="center"/>
              <w:rPr>
                <w:sz w:val="18"/>
                <w:szCs w:val="18"/>
              </w:rPr>
            </w:pPr>
            <w:r>
              <w:rPr>
                <w:sz w:val="18"/>
                <w:szCs w:val="18"/>
              </w:rPr>
              <w:t>537.64</w:t>
            </w:r>
          </w:p>
        </w:tc>
        <w:tc>
          <w:tcPr>
            <w:tcW w:w="1870" w:type="dxa"/>
            <w:vAlign w:val="center"/>
          </w:tcPr>
          <w:p w14:paraId="2340473A" w14:textId="77777777" w:rsidR="00CC2434" w:rsidRPr="00A80F8F" w:rsidRDefault="00CC2434" w:rsidP="000C2FB1">
            <w:pPr>
              <w:jc w:val="center"/>
              <w:rPr>
                <w:sz w:val="18"/>
                <w:szCs w:val="18"/>
              </w:rPr>
            </w:pPr>
            <w:r>
              <w:rPr>
                <w:sz w:val="18"/>
                <w:szCs w:val="18"/>
              </w:rPr>
              <w:t>71.05</w:t>
            </w:r>
          </w:p>
        </w:tc>
        <w:tc>
          <w:tcPr>
            <w:tcW w:w="1870" w:type="dxa"/>
            <w:vAlign w:val="center"/>
          </w:tcPr>
          <w:p w14:paraId="73F93696" w14:textId="77777777" w:rsidR="00CC2434" w:rsidRPr="00A80F8F" w:rsidRDefault="00CC2434" w:rsidP="000C2FB1">
            <w:pPr>
              <w:jc w:val="center"/>
              <w:rPr>
                <w:sz w:val="18"/>
                <w:szCs w:val="18"/>
              </w:rPr>
            </w:pPr>
            <w:r>
              <w:rPr>
                <w:sz w:val="18"/>
                <w:szCs w:val="18"/>
              </w:rPr>
              <w:t>28.95</w:t>
            </w:r>
          </w:p>
        </w:tc>
      </w:tr>
      <w:tr w:rsidR="00CC2434" w14:paraId="04CEC6AA" w14:textId="77777777" w:rsidTr="000C2FB1">
        <w:tc>
          <w:tcPr>
            <w:tcW w:w="2785" w:type="dxa"/>
            <w:vAlign w:val="center"/>
          </w:tcPr>
          <w:p w14:paraId="0FE41F85" w14:textId="77777777" w:rsidR="00CC2434" w:rsidRDefault="00CC2434" w:rsidP="000C2FB1">
            <w:pPr>
              <w:jc w:val="right"/>
              <w:rPr>
                <w:sz w:val="18"/>
              </w:rPr>
            </w:pPr>
            <w:r>
              <w:rPr>
                <w:sz w:val="18"/>
              </w:rPr>
              <w:t>8</w:t>
            </w:r>
            <w:r w:rsidRPr="00876B12">
              <w:rPr>
                <w:sz w:val="18"/>
                <w:vertAlign w:val="superscript"/>
              </w:rPr>
              <w:t>th</w:t>
            </w:r>
            <w:r>
              <w:rPr>
                <w:sz w:val="18"/>
              </w:rPr>
              <w:t xml:space="preserve"> Grade Science</w:t>
            </w:r>
          </w:p>
        </w:tc>
        <w:tc>
          <w:tcPr>
            <w:tcW w:w="955" w:type="dxa"/>
            <w:vAlign w:val="center"/>
          </w:tcPr>
          <w:p w14:paraId="3D99FC65" w14:textId="77777777" w:rsidR="00CC2434" w:rsidRPr="00A80F8F" w:rsidRDefault="00CC2434" w:rsidP="000C2FB1">
            <w:pPr>
              <w:jc w:val="center"/>
              <w:rPr>
                <w:sz w:val="18"/>
                <w:szCs w:val="18"/>
              </w:rPr>
            </w:pPr>
            <w:r>
              <w:rPr>
                <w:sz w:val="18"/>
                <w:szCs w:val="18"/>
              </w:rPr>
              <w:t>258</w:t>
            </w:r>
          </w:p>
        </w:tc>
        <w:tc>
          <w:tcPr>
            <w:tcW w:w="1870" w:type="dxa"/>
            <w:vAlign w:val="center"/>
          </w:tcPr>
          <w:p w14:paraId="577488AE" w14:textId="77777777" w:rsidR="00CC2434" w:rsidRPr="00A80F8F" w:rsidRDefault="00CC2434" w:rsidP="000C2FB1">
            <w:pPr>
              <w:jc w:val="center"/>
              <w:rPr>
                <w:sz w:val="18"/>
                <w:szCs w:val="18"/>
              </w:rPr>
            </w:pPr>
            <w:r>
              <w:rPr>
                <w:sz w:val="18"/>
                <w:szCs w:val="18"/>
              </w:rPr>
              <w:t>251.63</w:t>
            </w:r>
          </w:p>
        </w:tc>
        <w:tc>
          <w:tcPr>
            <w:tcW w:w="1870" w:type="dxa"/>
            <w:vAlign w:val="center"/>
          </w:tcPr>
          <w:p w14:paraId="2CAC5AD2" w14:textId="77777777" w:rsidR="00CC2434" w:rsidRPr="00A80F8F" w:rsidRDefault="00CC2434" w:rsidP="000C2FB1">
            <w:pPr>
              <w:jc w:val="center"/>
              <w:rPr>
                <w:sz w:val="18"/>
                <w:szCs w:val="18"/>
              </w:rPr>
            </w:pPr>
            <w:r>
              <w:rPr>
                <w:sz w:val="18"/>
                <w:szCs w:val="18"/>
              </w:rPr>
              <w:t>22.87</w:t>
            </w:r>
          </w:p>
        </w:tc>
        <w:tc>
          <w:tcPr>
            <w:tcW w:w="1870" w:type="dxa"/>
            <w:vAlign w:val="center"/>
          </w:tcPr>
          <w:p w14:paraId="6B24FB6F" w14:textId="77777777" w:rsidR="00CC2434" w:rsidRPr="00A80F8F" w:rsidRDefault="00CC2434" w:rsidP="000C2FB1">
            <w:pPr>
              <w:jc w:val="center"/>
              <w:rPr>
                <w:sz w:val="18"/>
                <w:szCs w:val="18"/>
              </w:rPr>
            </w:pPr>
            <w:r>
              <w:rPr>
                <w:sz w:val="18"/>
                <w:szCs w:val="18"/>
              </w:rPr>
              <w:t>77.13</w:t>
            </w:r>
          </w:p>
        </w:tc>
      </w:tr>
      <w:tr w:rsidR="00CC2434" w14:paraId="7771DDD8" w14:textId="77777777" w:rsidTr="000C2FB1">
        <w:tc>
          <w:tcPr>
            <w:tcW w:w="2785" w:type="dxa"/>
            <w:vAlign w:val="center"/>
          </w:tcPr>
          <w:p w14:paraId="0BA82C9F" w14:textId="77777777" w:rsidR="00CC2434" w:rsidRDefault="00CC2434" w:rsidP="000C2FB1">
            <w:pPr>
              <w:jc w:val="right"/>
              <w:rPr>
                <w:sz w:val="18"/>
              </w:rPr>
            </w:pPr>
            <w:r>
              <w:rPr>
                <w:sz w:val="18"/>
              </w:rPr>
              <w:t>Math I</w:t>
            </w:r>
          </w:p>
        </w:tc>
        <w:tc>
          <w:tcPr>
            <w:tcW w:w="955" w:type="dxa"/>
            <w:vAlign w:val="center"/>
          </w:tcPr>
          <w:p w14:paraId="4DC48077" w14:textId="77777777" w:rsidR="00CC2434" w:rsidRPr="00A80F8F" w:rsidRDefault="00CC2434" w:rsidP="000C2FB1">
            <w:pPr>
              <w:jc w:val="center"/>
              <w:rPr>
                <w:sz w:val="18"/>
                <w:szCs w:val="18"/>
              </w:rPr>
            </w:pPr>
            <w:r>
              <w:rPr>
                <w:sz w:val="18"/>
                <w:szCs w:val="18"/>
              </w:rPr>
              <w:t>273</w:t>
            </w:r>
          </w:p>
        </w:tc>
        <w:tc>
          <w:tcPr>
            <w:tcW w:w="1870" w:type="dxa"/>
            <w:vAlign w:val="center"/>
          </w:tcPr>
          <w:p w14:paraId="0681319F" w14:textId="77777777" w:rsidR="00CC2434" w:rsidRPr="00A80F8F" w:rsidRDefault="00CC2434" w:rsidP="000C2FB1">
            <w:pPr>
              <w:jc w:val="center"/>
              <w:rPr>
                <w:sz w:val="18"/>
                <w:szCs w:val="18"/>
              </w:rPr>
            </w:pPr>
            <w:r>
              <w:rPr>
                <w:sz w:val="18"/>
                <w:szCs w:val="18"/>
              </w:rPr>
              <w:t>550.46</w:t>
            </w:r>
          </w:p>
        </w:tc>
        <w:tc>
          <w:tcPr>
            <w:tcW w:w="1870" w:type="dxa"/>
            <w:vAlign w:val="center"/>
          </w:tcPr>
          <w:p w14:paraId="255952D1" w14:textId="77777777" w:rsidR="00CC2434" w:rsidRPr="00A80F8F" w:rsidRDefault="00CC2434" w:rsidP="000C2FB1">
            <w:pPr>
              <w:jc w:val="center"/>
              <w:rPr>
                <w:sz w:val="18"/>
                <w:szCs w:val="18"/>
              </w:rPr>
            </w:pPr>
            <w:r>
              <w:rPr>
                <w:sz w:val="18"/>
                <w:szCs w:val="18"/>
              </w:rPr>
              <w:t>33.33</w:t>
            </w:r>
          </w:p>
        </w:tc>
        <w:tc>
          <w:tcPr>
            <w:tcW w:w="1870" w:type="dxa"/>
            <w:vAlign w:val="center"/>
          </w:tcPr>
          <w:p w14:paraId="6ECADC49" w14:textId="77777777" w:rsidR="00CC2434" w:rsidRPr="00A80F8F" w:rsidRDefault="00CC2434" w:rsidP="000C2FB1">
            <w:pPr>
              <w:jc w:val="center"/>
              <w:rPr>
                <w:sz w:val="18"/>
                <w:szCs w:val="18"/>
              </w:rPr>
            </w:pPr>
            <w:r>
              <w:rPr>
                <w:sz w:val="18"/>
                <w:szCs w:val="18"/>
              </w:rPr>
              <w:t>66.67</w:t>
            </w:r>
          </w:p>
        </w:tc>
      </w:tr>
      <w:tr w:rsidR="00CC2434" w14:paraId="6F5C634D" w14:textId="77777777" w:rsidTr="000C2FB1">
        <w:tc>
          <w:tcPr>
            <w:tcW w:w="9350" w:type="dxa"/>
            <w:gridSpan w:val="5"/>
            <w:vAlign w:val="center"/>
          </w:tcPr>
          <w:p w14:paraId="66589516" w14:textId="77777777" w:rsidR="00CC2434" w:rsidRPr="00A80F8F" w:rsidRDefault="00CC2434" w:rsidP="000C2FB1">
            <w:pPr>
              <w:jc w:val="center"/>
              <w:rPr>
                <w:i/>
                <w:sz w:val="18"/>
                <w:szCs w:val="18"/>
              </w:rPr>
            </w:pPr>
            <w:r>
              <w:rPr>
                <w:i/>
                <w:sz w:val="18"/>
                <w:szCs w:val="18"/>
              </w:rPr>
              <w:t xml:space="preserve">Smokey Mountain High School </w:t>
            </w:r>
          </w:p>
        </w:tc>
      </w:tr>
      <w:tr w:rsidR="00CC2434" w14:paraId="4E1AEC7A" w14:textId="77777777" w:rsidTr="000C2FB1">
        <w:tc>
          <w:tcPr>
            <w:tcW w:w="2785" w:type="dxa"/>
            <w:vAlign w:val="center"/>
          </w:tcPr>
          <w:p w14:paraId="465A79E8" w14:textId="77777777" w:rsidR="00CC2434" w:rsidRPr="00A80F8F" w:rsidRDefault="00CC2434" w:rsidP="000C2FB1">
            <w:pPr>
              <w:jc w:val="right"/>
              <w:rPr>
                <w:sz w:val="18"/>
              </w:rPr>
            </w:pPr>
            <w:r>
              <w:rPr>
                <w:sz w:val="18"/>
              </w:rPr>
              <w:t xml:space="preserve"> Math I</w:t>
            </w:r>
          </w:p>
        </w:tc>
        <w:tc>
          <w:tcPr>
            <w:tcW w:w="955" w:type="dxa"/>
            <w:vAlign w:val="center"/>
          </w:tcPr>
          <w:p w14:paraId="180399B7" w14:textId="77777777" w:rsidR="00CC2434" w:rsidRPr="00A80F8F" w:rsidRDefault="00CC2434" w:rsidP="000C2FB1">
            <w:pPr>
              <w:jc w:val="center"/>
              <w:rPr>
                <w:sz w:val="18"/>
                <w:szCs w:val="18"/>
              </w:rPr>
            </w:pPr>
            <w:r>
              <w:rPr>
                <w:sz w:val="18"/>
                <w:szCs w:val="18"/>
              </w:rPr>
              <w:t>149</w:t>
            </w:r>
          </w:p>
        </w:tc>
        <w:tc>
          <w:tcPr>
            <w:tcW w:w="1870" w:type="dxa"/>
            <w:vAlign w:val="center"/>
          </w:tcPr>
          <w:p w14:paraId="5D2CD28D" w14:textId="77777777" w:rsidR="00CC2434" w:rsidRPr="00A80F8F" w:rsidRDefault="00CC2434" w:rsidP="000C2FB1">
            <w:pPr>
              <w:jc w:val="center"/>
              <w:rPr>
                <w:sz w:val="18"/>
                <w:szCs w:val="18"/>
              </w:rPr>
            </w:pPr>
            <w:r>
              <w:rPr>
                <w:sz w:val="18"/>
                <w:szCs w:val="18"/>
              </w:rPr>
              <w:t>550.00</w:t>
            </w:r>
          </w:p>
        </w:tc>
        <w:tc>
          <w:tcPr>
            <w:tcW w:w="1870" w:type="dxa"/>
            <w:vAlign w:val="center"/>
          </w:tcPr>
          <w:p w14:paraId="1B965998" w14:textId="77777777" w:rsidR="00CC2434" w:rsidRPr="00A80F8F" w:rsidRDefault="00CC2434" w:rsidP="000C2FB1">
            <w:pPr>
              <w:jc w:val="center"/>
              <w:rPr>
                <w:sz w:val="18"/>
                <w:szCs w:val="18"/>
              </w:rPr>
            </w:pPr>
            <w:r>
              <w:rPr>
                <w:sz w:val="18"/>
                <w:szCs w:val="18"/>
              </w:rPr>
              <w:t>34.23</w:t>
            </w:r>
          </w:p>
        </w:tc>
        <w:tc>
          <w:tcPr>
            <w:tcW w:w="1870" w:type="dxa"/>
            <w:vAlign w:val="center"/>
          </w:tcPr>
          <w:p w14:paraId="71F7E50C" w14:textId="77777777" w:rsidR="00CC2434" w:rsidRPr="00A80F8F" w:rsidRDefault="00CC2434" w:rsidP="000C2FB1">
            <w:pPr>
              <w:jc w:val="center"/>
              <w:rPr>
                <w:sz w:val="18"/>
                <w:szCs w:val="18"/>
              </w:rPr>
            </w:pPr>
            <w:r>
              <w:rPr>
                <w:sz w:val="18"/>
                <w:szCs w:val="18"/>
              </w:rPr>
              <w:t>65.77</w:t>
            </w:r>
          </w:p>
        </w:tc>
      </w:tr>
    </w:tbl>
    <w:p w14:paraId="79EEEC8B" w14:textId="77777777" w:rsidR="00CC2434" w:rsidRPr="007679B3" w:rsidRDefault="00CC2434" w:rsidP="00CC2434">
      <w:pPr>
        <w:spacing w:after="0" w:line="240" w:lineRule="auto"/>
        <w:rPr>
          <w:i/>
          <w:sz w:val="16"/>
        </w:rPr>
      </w:pPr>
      <w:r>
        <w:rPr>
          <w:i/>
          <w:sz w:val="16"/>
        </w:rPr>
        <w:t>Note:  For the 2018-19 academic year, this table displays descriptive student achievement data for The Catamount School, for all other Jackson County students in the same grades, and for students at the Smokey Mountain High School (the host school for The Catamount School).</w:t>
      </w:r>
    </w:p>
    <w:p w14:paraId="4D77E61A" w14:textId="3B64C1F8" w:rsidR="00CC2434" w:rsidRDefault="00CC2434" w:rsidP="004A191B">
      <w:pPr>
        <w:spacing w:after="0" w:line="240" w:lineRule="auto"/>
        <w:rPr>
          <w:i/>
        </w:rPr>
      </w:pPr>
    </w:p>
    <w:p w14:paraId="2372195E" w14:textId="6B43EF8E" w:rsidR="00382EEF" w:rsidRDefault="00382EEF" w:rsidP="004A191B">
      <w:pPr>
        <w:spacing w:after="0" w:line="240" w:lineRule="auto"/>
        <w:rPr>
          <w:i/>
        </w:rPr>
      </w:pPr>
    </w:p>
    <w:p w14:paraId="284A1492" w14:textId="3D03F3CA" w:rsidR="00382EEF" w:rsidRDefault="00382EEF" w:rsidP="004A191B">
      <w:pPr>
        <w:spacing w:after="0" w:line="240" w:lineRule="auto"/>
        <w:rPr>
          <w:i/>
        </w:rPr>
      </w:pPr>
    </w:p>
    <w:p w14:paraId="5BAC628D" w14:textId="7F4D90B6" w:rsidR="00382EEF" w:rsidRDefault="00382EEF" w:rsidP="004A191B">
      <w:pPr>
        <w:spacing w:after="0" w:line="240" w:lineRule="auto"/>
        <w:rPr>
          <w:i/>
        </w:rPr>
      </w:pPr>
    </w:p>
    <w:p w14:paraId="5DB59FFC" w14:textId="1BC768C8" w:rsidR="00382EEF" w:rsidRDefault="00382EEF" w:rsidP="004A191B">
      <w:pPr>
        <w:spacing w:after="0" w:line="240" w:lineRule="auto"/>
        <w:rPr>
          <w:i/>
        </w:rPr>
      </w:pPr>
    </w:p>
    <w:p w14:paraId="4C0B7927" w14:textId="6F33A55B" w:rsidR="00382EEF" w:rsidRDefault="00382EEF" w:rsidP="004A191B">
      <w:pPr>
        <w:spacing w:after="0" w:line="240" w:lineRule="auto"/>
        <w:rPr>
          <w:i/>
        </w:rPr>
      </w:pPr>
    </w:p>
    <w:p w14:paraId="2B5B8C3F" w14:textId="72200DD9" w:rsidR="00382EEF" w:rsidRDefault="00382EEF" w:rsidP="004A191B">
      <w:pPr>
        <w:spacing w:after="0" w:line="240" w:lineRule="auto"/>
        <w:rPr>
          <w:i/>
        </w:rPr>
      </w:pPr>
    </w:p>
    <w:p w14:paraId="52C02A2D" w14:textId="311EF35D" w:rsidR="00382EEF" w:rsidRDefault="00382EEF" w:rsidP="004A191B">
      <w:pPr>
        <w:spacing w:after="0" w:line="240" w:lineRule="auto"/>
        <w:rPr>
          <w:i/>
        </w:rPr>
      </w:pPr>
    </w:p>
    <w:p w14:paraId="0B6B09A9" w14:textId="245E47D3" w:rsidR="00382EEF" w:rsidRDefault="00382EEF" w:rsidP="004A191B">
      <w:pPr>
        <w:spacing w:after="0" w:line="240" w:lineRule="auto"/>
        <w:rPr>
          <w:i/>
        </w:rPr>
      </w:pPr>
    </w:p>
    <w:p w14:paraId="4FF642AB" w14:textId="35686BDE" w:rsidR="00382EEF" w:rsidRDefault="00382EEF" w:rsidP="004A191B">
      <w:pPr>
        <w:spacing w:after="0" w:line="240" w:lineRule="auto"/>
        <w:rPr>
          <w:i/>
        </w:rPr>
      </w:pPr>
    </w:p>
    <w:p w14:paraId="01FF0403" w14:textId="2F498AD5" w:rsidR="00382EEF" w:rsidRDefault="00382EEF" w:rsidP="004A191B">
      <w:pPr>
        <w:spacing w:after="0" w:line="240" w:lineRule="auto"/>
        <w:rPr>
          <w:i/>
        </w:rPr>
      </w:pPr>
    </w:p>
    <w:p w14:paraId="335FD982" w14:textId="7F282FAF" w:rsidR="00382EEF" w:rsidRDefault="00382EEF" w:rsidP="004A191B">
      <w:pPr>
        <w:spacing w:after="0" w:line="240" w:lineRule="auto"/>
        <w:rPr>
          <w:i/>
        </w:rPr>
      </w:pPr>
    </w:p>
    <w:p w14:paraId="43BA3626" w14:textId="59BC2718" w:rsidR="00382EEF" w:rsidRDefault="00382EEF" w:rsidP="004A191B">
      <w:pPr>
        <w:spacing w:after="0" w:line="240" w:lineRule="auto"/>
        <w:rPr>
          <w:i/>
        </w:rPr>
      </w:pPr>
    </w:p>
    <w:p w14:paraId="2234B503" w14:textId="5B110024" w:rsidR="00382EEF" w:rsidRDefault="00382EEF" w:rsidP="004A191B">
      <w:pPr>
        <w:spacing w:after="0" w:line="240" w:lineRule="auto"/>
        <w:rPr>
          <w:i/>
        </w:rPr>
      </w:pPr>
    </w:p>
    <w:p w14:paraId="363F4CEE" w14:textId="357716DC" w:rsidR="00382EEF" w:rsidRDefault="00382EEF" w:rsidP="004A191B">
      <w:pPr>
        <w:spacing w:after="0" w:line="240" w:lineRule="auto"/>
        <w:rPr>
          <w:i/>
        </w:rPr>
      </w:pPr>
    </w:p>
    <w:p w14:paraId="34B4CBF1" w14:textId="1700A41C" w:rsidR="00382EEF" w:rsidRDefault="00382EEF" w:rsidP="004A191B">
      <w:pPr>
        <w:spacing w:after="0" w:line="240" w:lineRule="auto"/>
        <w:rPr>
          <w:i/>
        </w:rPr>
      </w:pPr>
    </w:p>
    <w:p w14:paraId="0EA48B8F" w14:textId="598AA811" w:rsidR="00382EEF" w:rsidRDefault="00382EEF" w:rsidP="004A191B">
      <w:pPr>
        <w:spacing w:after="0" w:line="240" w:lineRule="auto"/>
        <w:rPr>
          <w:i/>
        </w:rPr>
      </w:pPr>
    </w:p>
    <w:p w14:paraId="375E7A14" w14:textId="3E7E2C4E" w:rsidR="00382EEF" w:rsidRDefault="00382EEF" w:rsidP="004A191B">
      <w:pPr>
        <w:spacing w:after="0" w:line="240" w:lineRule="auto"/>
        <w:rPr>
          <w:i/>
        </w:rPr>
      </w:pPr>
    </w:p>
    <w:p w14:paraId="09767A6A" w14:textId="2142F253" w:rsidR="00382EEF" w:rsidRDefault="00382EEF" w:rsidP="004A191B">
      <w:pPr>
        <w:spacing w:after="0" w:line="240" w:lineRule="auto"/>
        <w:rPr>
          <w:i/>
        </w:rPr>
      </w:pPr>
    </w:p>
    <w:p w14:paraId="20572E60" w14:textId="4B9AD2A5" w:rsidR="00382EEF" w:rsidRDefault="00382EEF" w:rsidP="004A191B">
      <w:pPr>
        <w:spacing w:after="0" w:line="240" w:lineRule="auto"/>
        <w:rPr>
          <w:i/>
        </w:rPr>
      </w:pPr>
    </w:p>
    <w:p w14:paraId="0D8FDF82" w14:textId="637E305A" w:rsidR="00382EEF" w:rsidRDefault="00382EEF" w:rsidP="004A191B">
      <w:pPr>
        <w:spacing w:after="0" w:line="240" w:lineRule="auto"/>
        <w:rPr>
          <w:i/>
        </w:rPr>
      </w:pPr>
    </w:p>
    <w:p w14:paraId="7B11DA63" w14:textId="76F4052B" w:rsidR="00382EEF" w:rsidRDefault="00382EEF" w:rsidP="004A191B">
      <w:pPr>
        <w:spacing w:after="0" w:line="240" w:lineRule="auto"/>
        <w:rPr>
          <w:i/>
        </w:rPr>
      </w:pPr>
    </w:p>
    <w:p w14:paraId="0A77308B" w14:textId="198E09F5" w:rsidR="00382EEF" w:rsidRDefault="00382EEF" w:rsidP="004A191B">
      <w:pPr>
        <w:spacing w:after="0" w:line="240" w:lineRule="auto"/>
        <w:rPr>
          <w:i/>
        </w:rPr>
      </w:pPr>
    </w:p>
    <w:p w14:paraId="7920BE16" w14:textId="78295A22" w:rsidR="00382EEF" w:rsidRDefault="00382EEF" w:rsidP="004A191B">
      <w:pPr>
        <w:spacing w:after="0" w:line="240" w:lineRule="auto"/>
        <w:rPr>
          <w:i/>
        </w:rPr>
      </w:pPr>
    </w:p>
    <w:p w14:paraId="6573CC33" w14:textId="266DB87D" w:rsidR="00382EEF" w:rsidRDefault="00382EEF" w:rsidP="004A191B">
      <w:pPr>
        <w:spacing w:after="0" w:line="240" w:lineRule="auto"/>
        <w:rPr>
          <w:i/>
        </w:rPr>
      </w:pPr>
    </w:p>
    <w:p w14:paraId="5A4B65D4" w14:textId="198E6EBA" w:rsidR="00382EEF" w:rsidRDefault="00382EEF" w:rsidP="004A191B">
      <w:pPr>
        <w:spacing w:after="0" w:line="240" w:lineRule="auto"/>
        <w:rPr>
          <w:i/>
        </w:rPr>
      </w:pPr>
    </w:p>
    <w:p w14:paraId="4350FA25" w14:textId="2AFB9BC4" w:rsidR="00382EEF" w:rsidRDefault="00382EEF" w:rsidP="00382EEF">
      <w:pPr>
        <w:spacing w:after="0" w:line="240" w:lineRule="auto"/>
        <w:rPr>
          <w:i/>
        </w:rPr>
      </w:pPr>
      <w:r>
        <w:rPr>
          <w:i/>
        </w:rPr>
        <w:lastRenderedPageBreak/>
        <w:t xml:space="preserve">Appendix Table A5.6:  </w:t>
      </w:r>
      <w:r w:rsidRPr="00037B20">
        <w:rPr>
          <w:i/>
        </w:rPr>
        <w:t>Comparing</w:t>
      </w:r>
      <w:r>
        <w:rPr>
          <w:i/>
        </w:rPr>
        <w:t xml:space="preserve"> Test Score Data in 2018-19 and 2017-18 for Laboratory School Students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7"/>
        <w:gridCol w:w="2337"/>
        <w:gridCol w:w="2161"/>
        <w:gridCol w:w="2515"/>
      </w:tblGrid>
      <w:tr w:rsidR="00382EEF" w14:paraId="6C368926" w14:textId="77777777" w:rsidTr="000C2FB1">
        <w:trPr>
          <w:trHeight w:val="317"/>
        </w:trPr>
        <w:tc>
          <w:tcPr>
            <w:tcW w:w="2337" w:type="dxa"/>
            <w:shd w:val="clear" w:color="auto" w:fill="F2F2F2" w:themeFill="background1" w:themeFillShade="F2"/>
            <w:vAlign w:val="center"/>
          </w:tcPr>
          <w:p w14:paraId="14994452" w14:textId="77777777" w:rsidR="00382EEF" w:rsidRPr="00851BC8" w:rsidRDefault="00382EEF" w:rsidP="000C2FB1">
            <w:pPr>
              <w:jc w:val="center"/>
            </w:pPr>
            <w:r w:rsidRPr="00851BC8">
              <w:t>Test</w:t>
            </w:r>
          </w:p>
        </w:tc>
        <w:tc>
          <w:tcPr>
            <w:tcW w:w="2337" w:type="dxa"/>
            <w:shd w:val="clear" w:color="auto" w:fill="F2F2F2" w:themeFill="background1" w:themeFillShade="F2"/>
            <w:vAlign w:val="center"/>
          </w:tcPr>
          <w:p w14:paraId="56DEC053" w14:textId="77777777" w:rsidR="00382EEF" w:rsidRPr="00851BC8" w:rsidRDefault="00382EEF" w:rsidP="000C2FB1">
            <w:pPr>
              <w:jc w:val="center"/>
            </w:pPr>
            <w:r w:rsidRPr="00851BC8">
              <w:t xml:space="preserve">Count of Students with Test Data in </w:t>
            </w:r>
            <w:r w:rsidRPr="00A76901">
              <w:rPr>
                <w:b/>
                <w:u w:val="single"/>
              </w:rPr>
              <w:t>Both</w:t>
            </w:r>
            <w:r w:rsidRPr="00851BC8">
              <w:t xml:space="preserve"> Periods</w:t>
            </w:r>
          </w:p>
        </w:tc>
        <w:tc>
          <w:tcPr>
            <w:tcW w:w="2161" w:type="dxa"/>
            <w:shd w:val="clear" w:color="auto" w:fill="F2F2F2" w:themeFill="background1" w:themeFillShade="F2"/>
            <w:vAlign w:val="center"/>
          </w:tcPr>
          <w:p w14:paraId="3A851562" w14:textId="77777777" w:rsidR="00382EEF" w:rsidRPr="00851BC8" w:rsidRDefault="00382EEF" w:rsidP="000C2FB1">
            <w:pPr>
              <w:jc w:val="center"/>
            </w:pPr>
            <w:r w:rsidRPr="00851BC8">
              <w:t>201</w:t>
            </w:r>
            <w:r>
              <w:t>8-19</w:t>
            </w:r>
            <w:r w:rsidRPr="00851BC8">
              <w:t xml:space="preserve"> Test Score</w:t>
            </w:r>
          </w:p>
          <w:p w14:paraId="1E92134A" w14:textId="77777777" w:rsidR="00382EEF" w:rsidRPr="00851BC8" w:rsidRDefault="00382EEF" w:rsidP="000C2FB1">
            <w:pPr>
              <w:jc w:val="center"/>
            </w:pPr>
            <w:r w:rsidRPr="00851BC8">
              <w:t>(Standardized)</w:t>
            </w:r>
          </w:p>
        </w:tc>
        <w:tc>
          <w:tcPr>
            <w:tcW w:w="2515" w:type="dxa"/>
            <w:shd w:val="clear" w:color="auto" w:fill="F2F2F2" w:themeFill="background1" w:themeFillShade="F2"/>
            <w:vAlign w:val="center"/>
          </w:tcPr>
          <w:p w14:paraId="64FACAAF" w14:textId="77777777" w:rsidR="00382EEF" w:rsidRPr="00851BC8" w:rsidRDefault="00382EEF" w:rsidP="000C2FB1">
            <w:pPr>
              <w:jc w:val="center"/>
            </w:pPr>
            <w:r w:rsidRPr="00851BC8">
              <w:t>Prior Year (201</w:t>
            </w:r>
            <w:r>
              <w:t>7-18</w:t>
            </w:r>
            <w:r w:rsidRPr="00851BC8">
              <w:t>) Test Score in the Same Subject-Area</w:t>
            </w:r>
          </w:p>
          <w:p w14:paraId="043E7C63" w14:textId="77777777" w:rsidR="00382EEF" w:rsidRPr="00851BC8" w:rsidRDefault="00382EEF" w:rsidP="000C2FB1">
            <w:pPr>
              <w:jc w:val="center"/>
            </w:pPr>
            <w:r w:rsidRPr="00851BC8">
              <w:t>(Standardized)</w:t>
            </w:r>
          </w:p>
        </w:tc>
      </w:tr>
      <w:tr w:rsidR="00382EEF" w14:paraId="283779AE" w14:textId="77777777" w:rsidTr="000C2FB1">
        <w:trPr>
          <w:trHeight w:val="317"/>
        </w:trPr>
        <w:tc>
          <w:tcPr>
            <w:tcW w:w="9350" w:type="dxa"/>
            <w:gridSpan w:val="4"/>
            <w:vAlign w:val="center"/>
          </w:tcPr>
          <w:p w14:paraId="033876F0" w14:textId="77777777" w:rsidR="00382EEF" w:rsidRPr="0056185B" w:rsidRDefault="00382EEF" w:rsidP="000C2FB1">
            <w:pPr>
              <w:jc w:val="center"/>
              <w:rPr>
                <w:i/>
                <w:sz w:val="20"/>
                <w:szCs w:val="20"/>
              </w:rPr>
            </w:pPr>
            <w:r w:rsidRPr="0056185B">
              <w:rPr>
                <w:i/>
                <w:sz w:val="20"/>
                <w:szCs w:val="20"/>
              </w:rPr>
              <w:t>Appalachian Academy at Middle Fork</w:t>
            </w:r>
          </w:p>
        </w:tc>
      </w:tr>
      <w:tr w:rsidR="00382EEF" w14:paraId="42A42B29" w14:textId="77777777" w:rsidTr="000C2FB1">
        <w:trPr>
          <w:trHeight w:val="317"/>
        </w:trPr>
        <w:tc>
          <w:tcPr>
            <w:tcW w:w="2337" w:type="dxa"/>
            <w:vAlign w:val="center"/>
          </w:tcPr>
          <w:p w14:paraId="7B47A83C" w14:textId="77777777" w:rsidR="00382EEF" w:rsidRPr="0066616E" w:rsidRDefault="00382EEF" w:rsidP="000C2FB1">
            <w:pPr>
              <w:jc w:val="right"/>
              <w:rPr>
                <w:sz w:val="18"/>
                <w:szCs w:val="18"/>
              </w:rPr>
            </w:pPr>
            <w:r w:rsidRPr="0066616E">
              <w:rPr>
                <w:sz w:val="18"/>
                <w:szCs w:val="18"/>
              </w:rPr>
              <w:t>3</w:t>
            </w:r>
            <w:r w:rsidRPr="0066616E">
              <w:rPr>
                <w:sz w:val="18"/>
                <w:szCs w:val="18"/>
                <w:vertAlign w:val="superscript"/>
              </w:rPr>
              <w:t>rd</w:t>
            </w:r>
            <w:r w:rsidRPr="0066616E">
              <w:rPr>
                <w:sz w:val="18"/>
                <w:szCs w:val="18"/>
              </w:rPr>
              <w:t xml:space="preserve"> Grade Reading </w:t>
            </w:r>
          </w:p>
        </w:tc>
        <w:tc>
          <w:tcPr>
            <w:tcW w:w="2337" w:type="dxa"/>
            <w:vAlign w:val="center"/>
          </w:tcPr>
          <w:p w14:paraId="070DFD03" w14:textId="77777777" w:rsidR="00382EEF" w:rsidRPr="0066616E" w:rsidRDefault="00382EEF" w:rsidP="000C2FB1">
            <w:pPr>
              <w:jc w:val="center"/>
              <w:rPr>
                <w:sz w:val="18"/>
                <w:szCs w:val="18"/>
              </w:rPr>
            </w:pPr>
            <w:r w:rsidRPr="0066616E">
              <w:rPr>
                <w:sz w:val="18"/>
                <w:szCs w:val="18"/>
              </w:rPr>
              <w:t>47</w:t>
            </w:r>
          </w:p>
        </w:tc>
        <w:tc>
          <w:tcPr>
            <w:tcW w:w="2161" w:type="dxa"/>
            <w:vAlign w:val="center"/>
          </w:tcPr>
          <w:p w14:paraId="3EB00F44" w14:textId="77777777" w:rsidR="00382EEF" w:rsidRPr="0066616E" w:rsidRDefault="00382EEF" w:rsidP="000C2FB1">
            <w:pPr>
              <w:jc w:val="center"/>
              <w:rPr>
                <w:sz w:val="18"/>
                <w:szCs w:val="18"/>
              </w:rPr>
            </w:pPr>
            <w:r w:rsidRPr="0066616E">
              <w:rPr>
                <w:sz w:val="18"/>
                <w:szCs w:val="18"/>
              </w:rPr>
              <w:t>-0.547</w:t>
            </w:r>
          </w:p>
        </w:tc>
        <w:tc>
          <w:tcPr>
            <w:tcW w:w="2515" w:type="dxa"/>
            <w:vAlign w:val="center"/>
          </w:tcPr>
          <w:p w14:paraId="03467FDE" w14:textId="77777777" w:rsidR="00382EEF" w:rsidRPr="0066616E" w:rsidRDefault="00382EEF" w:rsidP="000C2FB1">
            <w:pPr>
              <w:jc w:val="center"/>
              <w:rPr>
                <w:sz w:val="18"/>
                <w:szCs w:val="18"/>
              </w:rPr>
            </w:pPr>
            <w:r w:rsidRPr="0066616E">
              <w:rPr>
                <w:sz w:val="18"/>
                <w:szCs w:val="18"/>
              </w:rPr>
              <w:t>-0.475</w:t>
            </w:r>
          </w:p>
        </w:tc>
      </w:tr>
      <w:tr w:rsidR="00382EEF" w14:paraId="1CF4ADDC" w14:textId="77777777" w:rsidTr="000C2FB1">
        <w:trPr>
          <w:trHeight w:val="317"/>
        </w:trPr>
        <w:tc>
          <w:tcPr>
            <w:tcW w:w="2337" w:type="dxa"/>
            <w:vAlign w:val="center"/>
          </w:tcPr>
          <w:p w14:paraId="2F1890A0" w14:textId="77777777" w:rsidR="00382EEF" w:rsidRPr="0066616E" w:rsidRDefault="00382EEF" w:rsidP="000C2FB1">
            <w:pPr>
              <w:jc w:val="right"/>
              <w:rPr>
                <w:sz w:val="18"/>
                <w:szCs w:val="18"/>
              </w:rPr>
            </w:pPr>
            <w:r w:rsidRPr="0066616E">
              <w:rPr>
                <w:sz w:val="18"/>
                <w:szCs w:val="18"/>
              </w:rPr>
              <w:t>4</w:t>
            </w:r>
            <w:r w:rsidRPr="0066616E">
              <w:rPr>
                <w:sz w:val="18"/>
                <w:szCs w:val="18"/>
                <w:vertAlign w:val="superscript"/>
              </w:rPr>
              <w:t>th</w:t>
            </w:r>
            <w:r w:rsidRPr="0066616E">
              <w:rPr>
                <w:sz w:val="18"/>
                <w:szCs w:val="18"/>
              </w:rPr>
              <w:t xml:space="preserve"> Grade Reading</w:t>
            </w:r>
          </w:p>
        </w:tc>
        <w:tc>
          <w:tcPr>
            <w:tcW w:w="2337" w:type="dxa"/>
            <w:vAlign w:val="center"/>
          </w:tcPr>
          <w:p w14:paraId="5C71149A" w14:textId="77777777" w:rsidR="00382EEF" w:rsidRPr="0066616E" w:rsidRDefault="00382EEF" w:rsidP="000C2FB1">
            <w:pPr>
              <w:jc w:val="center"/>
              <w:rPr>
                <w:sz w:val="18"/>
                <w:szCs w:val="18"/>
              </w:rPr>
            </w:pPr>
            <w:r w:rsidRPr="0066616E">
              <w:rPr>
                <w:sz w:val="18"/>
                <w:szCs w:val="18"/>
              </w:rPr>
              <w:t>46</w:t>
            </w:r>
          </w:p>
        </w:tc>
        <w:tc>
          <w:tcPr>
            <w:tcW w:w="2161" w:type="dxa"/>
            <w:vAlign w:val="center"/>
          </w:tcPr>
          <w:p w14:paraId="793046E9" w14:textId="77777777" w:rsidR="00382EEF" w:rsidRPr="0066616E" w:rsidRDefault="00382EEF" w:rsidP="000C2FB1">
            <w:pPr>
              <w:jc w:val="center"/>
              <w:rPr>
                <w:sz w:val="18"/>
                <w:szCs w:val="18"/>
              </w:rPr>
            </w:pPr>
            <w:r w:rsidRPr="0066616E">
              <w:rPr>
                <w:sz w:val="18"/>
                <w:szCs w:val="18"/>
              </w:rPr>
              <w:t>-0.672</w:t>
            </w:r>
          </w:p>
        </w:tc>
        <w:tc>
          <w:tcPr>
            <w:tcW w:w="2515" w:type="dxa"/>
            <w:vAlign w:val="center"/>
          </w:tcPr>
          <w:p w14:paraId="4C1D5939" w14:textId="77777777" w:rsidR="00382EEF" w:rsidRPr="0066616E" w:rsidRDefault="00382EEF" w:rsidP="000C2FB1">
            <w:pPr>
              <w:jc w:val="center"/>
              <w:rPr>
                <w:sz w:val="18"/>
                <w:szCs w:val="18"/>
              </w:rPr>
            </w:pPr>
            <w:r w:rsidRPr="0066616E">
              <w:rPr>
                <w:sz w:val="18"/>
                <w:szCs w:val="18"/>
              </w:rPr>
              <w:t>-0.745</w:t>
            </w:r>
          </w:p>
        </w:tc>
      </w:tr>
      <w:tr w:rsidR="00382EEF" w14:paraId="5D4C3019" w14:textId="77777777" w:rsidTr="000C2FB1">
        <w:trPr>
          <w:trHeight w:val="317"/>
        </w:trPr>
        <w:tc>
          <w:tcPr>
            <w:tcW w:w="2337" w:type="dxa"/>
            <w:vAlign w:val="center"/>
          </w:tcPr>
          <w:p w14:paraId="71BE95B4" w14:textId="77777777" w:rsidR="00382EEF" w:rsidRPr="0066616E" w:rsidRDefault="00382EEF" w:rsidP="000C2FB1">
            <w:pPr>
              <w:jc w:val="right"/>
              <w:rPr>
                <w:sz w:val="18"/>
                <w:szCs w:val="18"/>
              </w:rPr>
            </w:pPr>
            <w:r w:rsidRPr="0066616E">
              <w:rPr>
                <w:sz w:val="18"/>
                <w:szCs w:val="18"/>
              </w:rPr>
              <w:t>5</w:t>
            </w:r>
            <w:r w:rsidRPr="0066616E">
              <w:rPr>
                <w:sz w:val="18"/>
                <w:szCs w:val="18"/>
                <w:vertAlign w:val="superscript"/>
              </w:rPr>
              <w:t>th</w:t>
            </w:r>
            <w:r w:rsidRPr="0066616E">
              <w:rPr>
                <w:sz w:val="18"/>
                <w:szCs w:val="18"/>
              </w:rPr>
              <w:t xml:space="preserve"> Grade Reading</w:t>
            </w:r>
          </w:p>
        </w:tc>
        <w:tc>
          <w:tcPr>
            <w:tcW w:w="2337" w:type="dxa"/>
            <w:vAlign w:val="center"/>
          </w:tcPr>
          <w:p w14:paraId="378210DA" w14:textId="77777777" w:rsidR="00382EEF" w:rsidRPr="0066616E" w:rsidRDefault="00382EEF" w:rsidP="000C2FB1">
            <w:pPr>
              <w:jc w:val="center"/>
              <w:rPr>
                <w:sz w:val="18"/>
                <w:szCs w:val="18"/>
              </w:rPr>
            </w:pPr>
            <w:r w:rsidRPr="0066616E">
              <w:rPr>
                <w:sz w:val="18"/>
                <w:szCs w:val="18"/>
              </w:rPr>
              <w:t>47</w:t>
            </w:r>
          </w:p>
        </w:tc>
        <w:tc>
          <w:tcPr>
            <w:tcW w:w="2161" w:type="dxa"/>
            <w:vAlign w:val="center"/>
          </w:tcPr>
          <w:p w14:paraId="13CD5BC8" w14:textId="77777777" w:rsidR="00382EEF" w:rsidRPr="0066616E" w:rsidRDefault="00382EEF" w:rsidP="000C2FB1">
            <w:pPr>
              <w:jc w:val="center"/>
              <w:rPr>
                <w:sz w:val="18"/>
                <w:szCs w:val="18"/>
              </w:rPr>
            </w:pPr>
            <w:r w:rsidRPr="0066616E">
              <w:rPr>
                <w:sz w:val="18"/>
                <w:szCs w:val="18"/>
              </w:rPr>
              <w:t>-0.800</w:t>
            </w:r>
          </w:p>
        </w:tc>
        <w:tc>
          <w:tcPr>
            <w:tcW w:w="2515" w:type="dxa"/>
            <w:vAlign w:val="center"/>
          </w:tcPr>
          <w:p w14:paraId="4846C04D" w14:textId="77777777" w:rsidR="00382EEF" w:rsidRPr="0066616E" w:rsidRDefault="00382EEF" w:rsidP="000C2FB1">
            <w:pPr>
              <w:jc w:val="center"/>
              <w:rPr>
                <w:sz w:val="18"/>
                <w:szCs w:val="18"/>
              </w:rPr>
            </w:pPr>
            <w:r w:rsidRPr="0066616E">
              <w:rPr>
                <w:sz w:val="18"/>
                <w:szCs w:val="18"/>
              </w:rPr>
              <w:t>-1.055</w:t>
            </w:r>
          </w:p>
        </w:tc>
      </w:tr>
      <w:tr w:rsidR="00382EEF" w14:paraId="77417027" w14:textId="77777777" w:rsidTr="000C2FB1">
        <w:trPr>
          <w:trHeight w:val="317"/>
        </w:trPr>
        <w:tc>
          <w:tcPr>
            <w:tcW w:w="2337" w:type="dxa"/>
            <w:vAlign w:val="center"/>
          </w:tcPr>
          <w:p w14:paraId="59B6A0E3" w14:textId="77777777" w:rsidR="00382EEF" w:rsidRPr="0066616E" w:rsidRDefault="00382EEF" w:rsidP="000C2FB1">
            <w:pPr>
              <w:jc w:val="right"/>
              <w:rPr>
                <w:sz w:val="18"/>
                <w:szCs w:val="18"/>
              </w:rPr>
            </w:pPr>
            <w:r w:rsidRPr="0066616E">
              <w:rPr>
                <w:sz w:val="18"/>
                <w:szCs w:val="18"/>
              </w:rPr>
              <w:t>4</w:t>
            </w:r>
            <w:r w:rsidRPr="0066616E">
              <w:rPr>
                <w:sz w:val="18"/>
                <w:szCs w:val="18"/>
                <w:vertAlign w:val="superscript"/>
              </w:rPr>
              <w:t>th</w:t>
            </w:r>
            <w:r w:rsidRPr="0066616E">
              <w:rPr>
                <w:sz w:val="18"/>
                <w:szCs w:val="18"/>
              </w:rPr>
              <w:t xml:space="preserve"> Grade Math</w:t>
            </w:r>
          </w:p>
        </w:tc>
        <w:tc>
          <w:tcPr>
            <w:tcW w:w="2337" w:type="dxa"/>
            <w:vAlign w:val="center"/>
          </w:tcPr>
          <w:p w14:paraId="4E4714DB" w14:textId="77777777" w:rsidR="00382EEF" w:rsidRPr="0066616E" w:rsidRDefault="00382EEF" w:rsidP="000C2FB1">
            <w:pPr>
              <w:jc w:val="center"/>
              <w:rPr>
                <w:sz w:val="18"/>
                <w:szCs w:val="18"/>
              </w:rPr>
            </w:pPr>
            <w:r w:rsidRPr="0066616E">
              <w:rPr>
                <w:sz w:val="18"/>
                <w:szCs w:val="18"/>
              </w:rPr>
              <w:t>46</w:t>
            </w:r>
          </w:p>
        </w:tc>
        <w:tc>
          <w:tcPr>
            <w:tcW w:w="2161" w:type="dxa"/>
            <w:vAlign w:val="center"/>
          </w:tcPr>
          <w:p w14:paraId="17F80115" w14:textId="77777777" w:rsidR="00382EEF" w:rsidRPr="0066616E" w:rsidRDefault="00382EEF" w:rsidP="000C2FB1">
            <w:pPr>
              <w:jc w:val="center"/>
              <w:rPr>
                <w:sz w:val="18"/>
                <w:szCs w:val="18"/>
              </w:rPr>
            </w:pPr>
            <w:r w:rsidRPr="0066616E">
              <w:rPr>
                <w:sz w:val="18"/>
                <w:szCs w:val="18"/>
              </w:rPr>
              <w:t>-0.889</w:t>
            </w:r>
          </w:p>
        </w:tc>
        <w:tc>
          <w:tcPr>
            <w:tcW w:w="2515" w:type="dxa"/>
            <w:vAlign w:val="center"/>
          </w:tcPr>
          <w:p w14:paraId="204E4F35" w14:textId="77777777" w:rsidR="00382EEF" w:rsidRPr="0066616E" w:rsidRDefault="00382EEF" w:rsidP="000C2FB1">
            <w:pPr>
              <w:jc w:val="center"/>
              <w:rPr>
                <w:sz w:val="18"/>
                <w:szCs w:val="18"/>
              </w:rPr>
            </w:pPr>
            <w:r w:rsidRPr="0066616E">
              <w:rPr>
                <w:sz w:val="18"/>
                <w:szCs w:val="18"/>
              </w:rPr>
              <w:t>-0.906</w:t>
            </w:r>
          </w:p>
        </w:tc>
      </w:tr>
      <w:tr w:rsidR="00382EEF" w14:paraId="0F9AB4B4" w14:textId="77777777" w:rsidTr="000C2FB1">
        <w:trPr>
          <w:trHeight w:val="317"/>
        </w:trPr>
        <w:tc>
          <w:tcPr>
            <w:tcW w:w="2337" w:type="dxa"/>
            <w:vAlign w:val="center"/>
          </w:tcPr>
          <w:p w14:paraId="24788872" w14:textId="77777777" w:rsidR="00382EEF" w:rsidRPr="0066616E" w:rsidRDefault="00382EEF" w:rsidP="000C2FB1">
            <w:pPr>
              <w:jc w:val="right"/>
              <w:rPr>
                <w:sz w:val="18"/>
                <w:szCs w:val="18"/>
              </w:rPr>
            </w:pPr>
            <w:r w:rsidRPr="0066616E">
              <w:rPr>
                <w:sz w:val="18"/>
                <w:szCs w:val="18"/>
              </w:rPr>
              <w:t>5</w:t>
            </w:r>
            <w:r w:rsidRPr="0066616E">
              <w:rPr>
                <w:sz w:val="18"/>
                <w:szCs w:val="18"/>
                <w:vertAlign w:val="superscript"/>
              </w:rPr>
              <w:t>th</w:t>
            </w:r>
            <w:r w:rsidRPr="0066616E">
              <w:rPr>
                <w:sz w:val="18"/>
                <w:szCs w:val="18"/>
              </w:rPr>
              <w:t xml:space="preserve"> Grade Math</w:t>
            </w:r>
          </w:p>
        </w:tc>
        <w:tc>
          <w:tcPr>
            <w:tcW w:w="2337" w:type="dxa"/>
            <w:vAlign w:val="center"/>
          </w:tcPr>
          <w:p w14:paraId="3F17560E" w14:textId="77777777" w:rsidR="00382EEF" w:rsidRPr="0066616E" w:rsidRDefault="00382EEF" w:rsidP="000C2FB1">
            <w:pPr>
              <w:jc w:val="center"/>
              <w:rPr>
                <w:sz w:val="18"/>
                <w:szCs w:val="18"/>
              </w:rPr>
            </w:pPr>
            <w:r w:rsidRPr="0066616E">
              <w:rPr>
                <w:sz w:val="18"/>
                <w:szCs w:val="18"/>
              </w:rPr>
              <w:t>47</w:t>
            </w:r>
          </w:p>
        </w:tc>
        <w:tc>
          <w:tcPr>
            <w:tcW w:w="2161" w:type="dxa"/>
            <w:vAlign w:val="center"/>
          </w:tcPr>
          <w:p w14:paraId="7D4D2C5A" w14:textId="77777777" w:rsidR="00382EEF" w:rsidRPr="0066616E" w:rsidRDefault="00382EEF" w:rsidP="000C2FB1">
            <w:pPr>
              <w:jc w:val="center"/>
              <w:rPr>
                <w:sz w:val="18"/>
                <w:szCs w:val="18"/>
              </w:rPr>
            </w:pPr>
            <w:r w:rsidRPr="0066616E">
              <w:rPr>
                <w:sz w:val="18"/>
                <w:szCs w:val="18"/>
              </w:rPr>
              <w:t>-0.937</w:t>
            </w:r>
          </w:p>
        </w:tc>
        <w:tc>
          <w:tcPr>
            <w:tcW w:w="2515" w:type="dxa"/>
            <w:vAlign w:val="center"/>
          </w:tcPr>
          <w:p w14:paraId="14AB6DA9" w14:textId="77777777" w:rsidR="00382EEF" w:rsidRPr="0066616E" w:rsidRDefault="00382EEF" w:rsidP="000C2FB1">
            <w:pPr>
              <w:jc w:val="center"/>
              <w:rPr>
                <w:sz w:val="18"/>
                <w:szCs w:val="18"/>
              </w:rPr>
            </w:pPr>
            <w:r w:rsidRPr="0066616E">
              <w:rPr>
                <w:sz w:val="18"/>
                <w:szCs w:val="18"/>
              </w:rPr>
              <w:t>-1.046</w:t>
            </w:r>
          </w:p>
        </w:tc>
      </w:tr>
      <w:tr w:rsidR="00382EEF" w14:paraId="211BB392" w14:textId="77777777" w:rsidTr="000C2FB1">
        <w:trPr>
          <w:trHeight w:val="317"/>
        </w:trPr>
        <w:tc>
          <w:tcPr>
            <w:tcW w:w="9350" w:type="dxa"/>
            <w:gridSpan w:val="4"/>
            <w:vAlign w:val="center"/>
          </w:tcPr>
          <w:p w14:paraId="3D131BBB" w14:textId="77777777" w:rsidR="00382EEF" w:rsidRPr="0056185B" w:rsidRDefault="00382EEF" w:rsidP="000C2FB1">
            <w:pPr>
              <w:jc w:val="center"/>
              <w:rPr>
                <w:i/>
                <w:sz w:val="20"/>
                <w:szCs w:val="20"/>
              </w:rPr>
            </w:pPr>
            <w:r w:rsidRPr="0056185B">
              <w:rPr>
                <w:i/>
                <w:sz w:val="20"/>
                <w:szCs w:val="20"/>
              </w:rPr>
              <w:t>Moss Street Partnership School</w:t>
            </w:r>
          </w:p>
        </w:tc>
      </w:tr>
      <w:tr w:rsidR="00382EEF" w14:paraId="12C0E8B2" w14:textId="77777777" w:rsidTr="000C2FB1">
        <w:trPr>
          <w:trHeight w:val="317"/>
        </w:trPr>
        <w:tc>
          <w:tcPr>
            <w:tcW w:w="2337" w:type="dxa"/>
            <w:vAlign w:val="center"/>
          </w:tcPr>
          <w:p w14:paraId="3F960378" w14:textId="77777777" w:rsidR="00382EEF" w:rsidRPr="0066616E" w:rsidRDefault="00382EEF" w:rsidP="000C2FB1">
            <w:pPr>
              <w:jc w:val="right"/>
              <w:rPr>
                <w:sz w:val="18"/>
                <w:szCs w:val="18"/>
              </w:rPr>
            </w:pPr>
            <w:r w:rsidRPr="0066616E">
              <w:rPr>
                <w:sz w:val="18"/>
                <w:szCs w:val="18"/>
              </w:rPr>
              <w:t>3</w:t>
            </w:r>
            <w:r w:rsidRPr="0066616E">
              <w:rPr>
                <w:sz w:val="18"/>
                <w:szCs w:val="18"/>
                <w:vertAlign w:val="superscript"/>
              </w:rPr>
              <w:t>rd</w:t>
            </w:r>
            <w:r w:rsidRPr="0066616E">
              <w:rPr>
                <w:sz w:val="18"/>
                <w:szCs w:val="18"/>
              </w:rPr>
              <w:t xml:space="preserve"> Grade Reading </w:t>
            </w:r>
          </w:p>
        </w:tc>
        <w:tc>
          <w:tcPr>
            <w:tcW w:w="2337" w:type="dxa"/>
            <w:vAlign w:val="center"/>
          </w:tcPr>
          <w:p w14:paraId="790FD8BA" w14:textId="77777777" w:rsidR="00382EEF" w:rsidRPr="0066616E" w:rsidRDefault="00382EEF" w:rsidP="000C2FB1">
            <w:pPr>
              <w:jc w:val="center"/>
              <w:rPr>
                <w:sz w:val="18"/>
                <w:szCs w:val="18"/>
              </w:rPr>
            </w:pPr>
            <w:r w:rsidRPr="0066616E">
              <w:rPr>
                <w:sz w:val="18"/>
                <w:szCs w:val="18"/>
              </w:rPr>
              <w:t>40</w:t>
            </w:r>
          </w:p>
        </w:tc>
        <w:tc>
          <w:tcPr>
            <w:tcW w:w="2161" w:type="dxa"/>
            <w:vAlign w:val="center"/>
          </w:tcPr>
          <w:p w14:paraId="6FFA4902" w14:textId="77777777" w:rsidR="00382EEF" w:rsidRPr="0066616E" w:rsidRDefault="00382EEF" w:rsidP="000C2FB1">
            <w:pPr>
              <w:jc w:val="center"/>
              <w:rPr>
                <w:sz w:val="18"/>
                <w:szCs w:val="18"/>
              </w:rPr>
            </w:pPr>
            <w:r w:rsidRPr="0066616E">
              <w:rPr>
                <w:sz w:val="18"/>
                <w:szCs w:val="18"/>
              </w:rPr>
              <w:t>-1.045</w:t>
            </w:r>
          </w:p>
        </w:tc>
        <w:tc>
          <w:tcPr>
            <w:tcW w:w="2515" w:type="dxa"/>
            <w:vAlign w:val="center"/>
          </w:tcPr>
          <w:p w14:paraId="6FCFD23A" w14:textId="77777777" w:rsidR="00382EEF" w:rsidRPr="0066616E" w:rsidRDefault="00382EEF" w:rsidP="000C2FB1">
            <w:pPr>
              <w:jc w:val="center"/>
              <w:rPr>
                <w:sz w:val="18"/>
                <w:szCs w:val="18"/>
              </w:rPr>
            </w:pPr>
            <w:r w:rsidRPr="0066616E">
              <w:rPr>
                <w:sz w:val="18"/>
                <w:szCs w:val="18"/>
              </w:rPr>
              <w:t>-0.391</w:t>
            </w:r>
          </w:p>
        </w:tc>
      </w:tr>
      <w:tr w:rsidR="00382EEF" w14:paraId="65B00361" w14:textId="77777777" w:rsidTr="000C2FB1">
        <w:trPr>
          <w:trHeight w:val="317"/>
        </w:trPr>
        <w:tc>
          <w:tcPr>
            <w:tcW w:w="2337" w:type="dxa"/>
            <w:vAlign w:val="center"/>
          </w:tcPr>
          <w:p w14:paraId="0DAB9E41" w14:textId="77777777" w:rsidR="00382EEF" w:rsidRPr="0066616E" w:rsidRDefault="00382EEF" w:rsidP="000C2FB1">
            <w:pPr>
              <w:jc w:val="right"/>
              <w:rPr>
                <w:sz w:val="18"/>
                <w:szCs w:val="18"/>
              </w:rPr>
            </w:pPr>
            <w:r w:rsidRPr="0066616E">
              <w:rPr>
                <w:sz w:val="18"/>
                <w:szCs w:val="18"/>
              </w:rPr>
              <w:t>4</w:t>
            </w:r>
            <w:r w:rsidRPr="0066616E">
              <w:rPr>
                <w:sz w:val="18"/>
                <w:szCs w:val="18"/>
                <w:vertAlign w:val="superscript"/>
              </w:rPr>
              <w:t>th</w:t>
            </w:r>
            <w:r w:rsidRPr="0066616E">
              <w:rPr>
                <w:sz w:val="18"/>
                <w:szCs w:val="18"/>
              </w:rPr>
              <w:t xml:space="preserve"> Grade Reading</w:t>
            </w:r>
          </w:p>
        </w:tc>
        <w:tc>
          <w:tcPr>
            <w:tcW w:w="2337" w:type="dxa"/>
            <w:vAlign w:val="center"/>
          </w:tcPr>
          <w:p w14:paraId="0BE2CFD3" w14:textId="77777777" w:rsidR="00382EEF" w:rsidRPr="0066616E" w:rsidRDefault="00382EEF" w:rsidP="000C2FB1">
            <w:pPr>
              <w:jc w:val="center"/>
              <w:rPr>
                <w:sz w:val="18"/>
                <w:szCs w:val="18"/>
              </w:rPr>
            </w:pPr>
            <w:r w:rsidRPr="0066616E">
              <w:rPr>
                <w:sz w:val="18"/>
                <w:szCs w:val="18"/>
              </w:rPr>
              <w:t>67</w:t>
            </w:r>
          </w:p>
        </w:tc>
        <w:tc>
          <w:tcPr>
            <w:tcW w:w="2161" w:type="dxa"/>
            <w:vAlign w:val="center"/>
          </w:tcPr>
          <w:p w14:paraId="174B8B93" w14:textId="77777777" w:rsidR="00382EEF" w:rsidRPr="0066616E" w:rsidRDefault="00382EEF" w:rsidP="000C2FB1">
            <w:pPr>
              <w:jc w:val="center"/>
              <w:rPr>
                <w:sz w:val="18"/>
                <w:szCs w:val="18"/>
              </w:rPr>
            </w:pPr>
            <w:r w:rsidRPr="0066616E">
              <w:rPr>
                <w:sz w:val="18"/>
                <w:szCs w:val="18"/>
              </w:rPr>
              <w:t>-0.849</w:t>
            </w:r>
          </w:p>
        </w:tc>
        <w:tc>
          <w:tcPr>
            <w:tcW w:w="2515" w:type="dxa"/>
            <w:vAlign w:val="center"/>
          </w:tcPr>
          <w:p w14:paraId="4836498A" w14:textId="77777777" w:rsidR="00382EEF" w:rsidRPr="0066616E" w:rsidRDefault="00382EEF" w:rsidP="000C2FB1">
            <w:pPr>
              <w:jc w:val="center"/>
              <w:rPr>
                <w:sz w:val="18"/>
                <w:szCs w:val="18"/>
              </w:rPr>
            </w:pPr>
            <w:r w:rsidRPr="0066616E">
              <w:rPr>
                <w:sz w:val="18"/>
                <w:szCs w:val="18"/>
              </w:rPr>
              <w:t>-0.457</w:t>
            </w:r>
          </w:p>
        </w:tc>
      </w:tr>
      <w:tr w:rsidR="00382EEF" w14:paraId="21FB5F80" w14:textId="77777777" w:rsidTr="000C2FB1">
        <w:trPr>
          <w:trHeight w:val="317"/>
        </w:trPr>
        <w:tc>
          <w:tcPr>
            <w:tcW w:w="2337" w:type="dxa"/>
            <w:vAlign w:val="center"/>
          </w:tcPr>
          <w:p w14:paraId="2C7E8EAF" w14:textId="77777777" w:rsidR="00382EEF" w:rsidRPr="0066616E" w:rsidRDefault="00382EEF" w:rsidP="000C2FB1">
            <w:pPr>
              <w:jc w:val="right"/>
              <w:rPr>
                <w:sz w:val="18"/>
                <w:szCs w:val="18"/>
              </w:rPr>
            </w:pPr>
            <w:r w:rsidRPr="0066616E">
              <w:rPr>
                <w:sz w:val="18"/>
                <w:szCs w:val="18"/>
              </w:rPr>
              <w:t>5</w:t>
            </w:r>
            <w:r w:rsidRPr="0066616E">
              <w:rPr>
                <w:sz w:val="18"/>
                <w:szCs w:val="18"/>
                <w:vertAlign w:val="superscript"/>
              </w:rPr>
              <w:t>th</w:t>
            </w:r>
            <w:r w:rsidRPr="0066616E">
              <w:rPr>
                <w:sz w:val="18"/>
                <w:szCs w:val="18"/>
              </w:rPr>
              <w:t xml:space="preserve"> Grade Reading</w:t>
            </w:r>
          </w:p>
        </w:tc>
        <w:tc>
          <w:tcPr>
            <w:tcW w:w="2337" w:type="dxa"/>
            <w:vAlign w:val="center"/>
          </w:tcPr>
          <w:p w14:paraId="0E349F60" w14:textId="77777777" w:rsidR="00382EEF" w:rsidRPr="0066616E" w:rsidRDefault="00382EEF" w:rsidP="000C2FB1">
            <w:pPr>
              <w:jc w:val="center"/>
              <w:rPr>
                <w:sz w:val="18"/>
                <w:szCs w:val="18"/>
              </w:rPr>
            </w:pPr>
            <w:r w:rsidRPr="0066616E">
              <w:rPr>
                <w:sz w:val="18"/>
                <w:szCs w:val="18"/>
              </w:rPr>
              <w:t>57</w:t>
            </w:r>
          </w:p>
        </w:tc>
        <w:tc>
          <w:tcPr>
            <w:tcW w:w="2161" w:type="dxa"/>
            <w:vAlign w:val="center"/>
          </w:tcPr>
          <w:p w14:paraId="13D2EA83" w14:textId="77777777" w:rsidR="00382EEF" w:rsidRPr="0066616E" w:rsidRDefault="00382EEF" w:rsidP="000C2FB1">
            <w:pPr>
              <w:jc w:val="center"/>
              <w:rPr>
                <w:sz w:val="18"/>
                <w:szCs w:val="18"/>
              </w:rPr>
            </w:pPr>
            <w:r w:rsidRPr="0066616E">
              <w:rPr>
                <w:sz w:val="18"/>
                <w:szCs w:val="18"/>
              </w:rPr>
              <w:t>-0.860</w:t>
            </w:r>
          </w:p>
        </w:tc>
        <w:tc>
          <w:tcPr>
            <w:tcW w:w="2515" w:type="dxa"/>
            <w:vAlign w:val="center"/>
          </w:tcPr>
          <w:p w14:paraId="1D7B65C1" w14:textId="77777777" w:rsidR="00382EEF" w:rsidRPr="0066616E" w:rsidRDefault="00382EEF" w:rsidP="000C2FB1">
            <w:pPr>
              <w:jc w:val="center"/>
              <w:rPr>
                <w:sz w:val="18"/>
                <w:szCs w:val="18"/>
              </w:rPr>
            </w:pPr>
            <w:r w:rsidRPr="0066616E">
              <w:rPr>
                <w:sz w:val="18"/>
                <w:szCs w:val="18"/>
              </w:rPr>
              <w:t>-0.483</w:t>
            </w:r>
          </w:p>
        </w:tc>
      </w:tr>
      <w:tr w:rsidR="00382EEF" w14:paraId="1DC8DDFF" w14:textId="77777777" w:rsidTr="000C2FB1">
        <w:trPr>
          <w:trHeight w:val="317"/>
        </w:trPr>
        <w:tc>
          <w:tcPr>
            <w:tcW w:w="2337" w:type="dxa"/>
            <w:vAlign w:val="center"/>
          </w:tcPr>
          <w:p w14:paraId="0E6CF5BB" w14:textId="77777777" w:rsidR="00382EEF" w:rsidRPr="0066616E" w:rsidRDefault="00382EEF" w:rsidP="000C2FB1">
            <w:pPr>
              <w:jc w:val="right"/>
              <w:rPr>
                <w:sz w:val="18"/>
                <w:szCs w:val="18"/>
              </w:rPr>
            </w:pPr>
            <w:r w:rsidRPr="0066616E">
              <w:rPr>
                <w:sz w:val="18"/>
                <w:szCs w:val="18"/>
              </w:rPr>
              <w:t>4</w:t>
            </w:r>
            <w:r w:rsidRPr="0066616E">
              <w:rPr>
                <w:sz w:val="18"/>
                <w:szCs w:val="18"/>
                <w:vertAlign w:val="superscript"/>
              </w:rPr>
              <w:t>th</w:t>
            </w:r>
            <w:r w:rsidRPr="0066616E">
              <w:rPr>
                <w:sz w:val="18"/>
                <w:szCs w:val="18"/>
              </w:rPr>
              <w:t xml:space="preserve"> Grade Math</w:t>
            </w:r>
          </w:p>
        </w:tc>
        <w:tc>
          <w:tcPr>
            <w:tcW w:w="2337" w:type="dxa"/>
            <w:vAlign w:val="center"/>
          </w:tcPr>
          <w:p w14:paraId="051BCE7E" w14:textId="77777777" w:rsidR="00382EEF" w:rsidRPr="0066616E" w:rsidRDefault="00382EEF" w:rsidP="000C2FB1">
            <w:pPr>
              <w:jc w:val="center"/>
              <w:rPr>
                <w:sz w:val="18"/>
                <w:szCs w:val="18"/>
              </w:rPr>
            </w:pPr>
            <w:r w:rsidRPr="0066616E">
              <w:rPr>
                <w:sz w:val="18"/>
                <w:szCs w:val="18"/>
              </w:rPr>
              <w:t>67</w:t>
            </w:r>
          </w:p>
        </w:tc>
        <w:tc>
          <w:tcPr>
            <w:tcW w:w="2161" w:type="dxa"/>
            <w:vAlign w:val="center"/>
          </w:tcPr>
          <w:p w14:paraId="16CD7D29" w14:textId="77777777" w:rsidR="00382EEF" w:rsidRPr="0066616E" w:rsidRDefault="00382EEF" w:rsidP="000C2FB1">
            <w:pPr>
              <w:jc w:val="center"/>
              <w:rPr>
                <w:sz w:val="18"/>
                <w:szCs w:val="18"/>
              </w:rPr>
            </w:pPr>
            <w:r w:rsidRPr="0066616E">
              <w:rPr>
                <w:sz w:val="18"/>
                <w:szCs w:val="18"/>
              </w:rPr>
              <w:t>-0.986</w:t>
            </w:r>
          </w:p>
        </w:tc>
        <w:tc>
          <w:tcPr>
            <w:tcW w:w="2515" w:type="dxa"/>
            <w:vAlign w:val="center"/>
          </w:tcPr>
          <w:p w14:paraId="64474903" w14:textId="77777777" w:rsidR="00382EEF" w:rsidRPr="0066616E" w:rsidRDefault="00382EEF" w:rsidP="000C2FB1">
            <w:pPr>
              <w:jc w:val="center"/>
              <w:rPr>
                <w:sz w:val="18"/>
                <w:szCs w:val="18"/>
              </w:rPr>
            </w:pPr>
            <w:r w:rsidRPr="0066616E">
              <w:rPr>
                <w:sz w:val="18"/>
                <w:szCs w:val="18"/>
              </w:rPr>
              <w:t>-0.522</w:t>
            </w:r>
          </w:p>
        </w:tc>
      </w:tr>
      <w:tr w:rsidR="00382EEF" w14:paraId="10852A48" w14:textId="77777777" w:rsidTr="000C2FB1">
        <w:trPr>
          <w:trHeight w:val="317"/>
        </w:trPr>
        <w:tc>
          <w:tcPr>
            <w:tcW w:w="2337" w:type="dxa"/>
            <w:vAlign w:val="center"/>
          </w:tcPr>
          <w:p w14:paraId="3DF93450" w14:textId="77777777" w:rsidR="00382EEF" w:rsidRPr="0066616E" w:rsidRDefault="00382EEF" w:rsidP="000C2FB1">
            <w:pPr>
              <w:jc w:val="right"/>
              <w:rPr>
                <w:sz w:val="18"/>
                <w:szCs w:val="18"/>
              </w:rPr>
            </w:pPr>
            <w:r w:rsidRPr="0066616E">
              <w:rPr>
                <w:sz w:val="18"/>
                <w:szCs w:val="18"/>
              </w:rPr>
              <w:t>5</w:t>
            </w:r>
            <w:r w:rsidRPr="0066616E">
              <w:rPr>
                <w:sz w:val="18"/>
                <w:szCs w:val="18"/>
                <w:vertAlign w:val="superscript"/>
              </w:rPr>
              <w:t>th</w:t>
            </w:r>
            <w:r w:rsidRPr="0066616E">
              <w:rPr>
                <w:sz w:val="18"/>
                <w:szCs w:val="18"/>
              </w:rPr>
              <w:t xml:space="preserve"> Grade Math</w:t>
            </w:r>
          </w:p>
        </w:tc>
        <w:tc>
          <w:tcPr>
            <w:tcW w:w="2337" w:type="dxa"/>
            <w:vAlign w:val="center"/>
          </w:tcPr>
          <w:p w14:paraId="1C58AF24" w14:textId="77777777" w:rsidR="00382EEF" w:rsidRPr="0066616E" w:rsidRDefault="00382EEF" w:rsidP="000C2FB1">
            <w:pPr>
              <w:jc w:val="center"/>
              <w:rPr>
                <w:sz w:val="18"/>
                <w:szCs w:val="18"/>
              </w:rPr>
            </w:pPr>
            <w:r w:rsidRPr="0066616E">
              <w:rPr>
                <w:sz w:val="18"/>
                <w:szCs w:val="18"/>
              </w:rPr>
              <w:t>56</w:t>
            </w:r>
          </w:p>
        </w:tc>
        <w:tc>
          <w:tcPr>
            <w:tcW w:w="2161" w:type="dxa"/>
            <w:vAlign w:val="center"/>
          </w:tcPr>
          <w:p w14:paraId="1143B5E6" w14:textId="77777777" w:rsidR="00382EEF" w:rsidRPr="0066616E" w:rsidRDefault="00382EEF" w:rsidP="000C2FB1">
            <w:pPr>
              <w:jc w:val="center"/>
              <w:rPr>
                <w:sz w:val="18"/>
                <w:szCs w:val="18"/>
              </w:rPr>
            </w:pPr>
            <w:r w:rsidRPr="0066616E">
              <w:rPr>
                <w:sz w:val="18"/>
                <w:szCs w:val="18"/>
              </w:rPr>
              <w:t>-1.039</w:t>
            </w:r>
          </w:p>
        </w:tc>
        <w:tc>
          <w:tcPr>
            <w:tcW w:w="2515" w:type="dxa"/>
            <w:vAlign w:val="center"/>
          </w:tcPr>
          <w:p w14:paraId="6DA5E669" w14:textId="77777777" w:rsidR="00382EEF" w:rsidRPr="0066616E" w:rsidRDefault="00382EEF" w:rsidP="000C2FB1">
            <w:pPr>
              <w:jc w:val="center"/>
              <w:rPr>
                <w:sz w:val="18"/>
                <w:szCs w:val="18"/>
              </w:rPr>
            </w:pPr>
            <w:r w:rsidRPr="0066616E">
              <w:rPr>
                <w:sz w:val="18"/>
                <w:szCs w:val="18"/>
              </w:rPr>
              <w:t>-0.315</w:t>
            </w:r>
          </w:p>
        </w:tc>
      </w:tr>
      <w:tr w:rsidR="00382EEF" w14:paraId="0E10786C" w14:textId="77777777" w:rsidTr="000C2FB1">
        <w:trPr>
          <w:trHeight w:val="317"/>
        </w:trPr>
        <w:tc>
          <w:tcPr>
            <w:tcW w:w="9350" w:type="dxa"/>
            <w:gridSpan w:val="4"/>
            <w:vAlign w:val="center"/>
          </w:tcPr>
          <w:p w14:paraId="5FB3C16E" w14:textId="77777777" w:rsidR="00382EEF" w:rsidRPr="0056185B" w:rsidRDefault="00382EEF" w:rsidP="000C2FB1">
            <w:pPr>
              <w:jc w:val="center"/>
              <w:rPr>
                <w:i/>
                <w:iCs/>
                <w:sz w:val="20"/>
                <w:szCs w:val="20"/>
              </w:rPr>
            </w:pPr>
            <w:r w:rsidRPr="0056185B">
              <w:rPr>
                <w:i/>
                <w:iCs/>
                <w:sz w:val="20"/>
                <w:szCs w:val="20"/>
              </w:rPr>
              <w:t>D.C. Virgo Preparatory Academy</w:t>
            </w:r>
          </w:p>
        </w:tc>
      </w:tr>
      <w:tr w:rsidR="00382EEF" w14:paraId="6A32CB88" w14:textId="77777777" w:rsidTr="000C2FB1">
        <w:trPr>
          <w:trHeight w:val="317"/>
        </w:trPr>
        <w:tc>
          <w:tcPr>
            <w:tcW w:w="2337" w:type="dxa"/>
            <w:vAlign w:val="center"/>
          </w:tcPr>
          <w:p w14:paraId="669083BD" w14:textId="77777777" w:rsidR="00382EEF" w:rsidRPr="0066616E" w:rsidRDefault="00382EEF" w:rsidP="000C2FB1">
            <w:pPr>
              <w:jc w:val="right"/>
              <w:rPr>
                <w:sz w:val="18"/>
                <w:szCs w:val="18"/>
              </w:rPr>
            </w:pPr>
            <w:r w:rsidRPr="0066616E">
              <w:rPr>
                <w:sz w:val="18"/>
                <w:szCs w:val="18"/>
              </w:rPr>
              <w:t>3</w:t>
            </w:r>
            <w:r w:rsidRPr="0066616E">
              <w:rPr>
                <w:sz w:val="18"/>
                <w:szCs w:val="18"/>
                <w:vertAlign w:val="superscript"/>
              </w:rPr>
              <w:t>rd</w:t>
            </w:r>
            <w:r w:rsidRPr="0066616E">
              <w:rPr>
                <w:sz w:val="18"/>
                <w:szCs w:val="18"/>
              </w:rPr>
              <w:t xml:space="preserve"> Grade Reading </w:t>
            </w:r>
          </w:p>
        </w:tc>
        <w:tc>
          <w:tcPr>
            <w:tcW w:w="2337" w:type="dxa"/>
            <w:vAlign w:val="center"/>
          </w:tcPr>
          <w:p w14:paraId="511AD4A8" w14:textId="77777777" w:rsidR="00382EEF" w:rsidRPr="0066616E" w:rsidRDefault="00382EEF" w:rsidP="000C2FB1">
            <w:pPr>
              <w:jc w:val="center"/>
              <w:rPr>
                <w:sz w:val="18"/>
                <w:szCs w:val="18"/>
              </w:rPr>
            </w:pPr>
            <w:r w:rsidRPr="0066616E">
              <w:rPr>
                <w:sz w:val="18"/>
                <w:szCs w:val="18"/>
              </w:rPr>
              <w:t>10</w:t>
            </w:r>
          </w:p>
        </w:tc>
        <w:tc>
          <w:tcPr>
            <w:tcW w:w="2161" w:type="dxa"/>
            <w:vAlign w:val="center"/>
          </w:tcPr>
          <w:p w14:paraId="0D5D198F" w14:textId="77777777" w:rsidR="00382EEF" w:rsidRPr="0066616E" w:rsidRDefault="00382EEF" w:rsidP="000C2FB1">
            <w:pPr>
              <w:jc w:val="center"/>
              <w:rPr>
                <w:sz w:val="18"/>
                <w:szCs w:val="18"/>
              </w:rPr>
            </w:pPr>
            <w:r w:rsidRPr="0066616E">
              <w:rPr>
                <w:sz w:val="18"/>
                <w:szCs w:val="18"/>
              </w:rPr>
              <w:t>-0.664</w:t>
            </w:r>
          </w:p>
        </w:tc>
        <w:tc>
          <w:tcPr>
            <w:tcW w:w="2515" w:type="dxa"/>
            <w:vAlign w:val="center"/>
          </w:tcPr>
          <w:p w14:paraId="47AA4556" w14:textId="77777777" w:rsidR="00382EEF" w:rsidRPr="0066616E" w:rsidRDefault="00382EEF" w:rsidP="000C2FB1">
            <w:pPr>
              <w:jc w:val="center"/>
              <w:rPr>
                <w:sz w:val="18"/>
                <w:szCs w:val="18"/>
              </w:rPr>
            </w:pPr>
            <w:r w:rsidRPr="0066616E">
              <w:rPr>
                <w:sz w:val="18"/>
                <w:szCs w:val="18"/>
              </w:rPr>
              <w:t>-0.520</w:t>
            </w:r>
          </w:p>
        </w:tc>
      </w:tr>
      <w:tr w:rsidR="00382EEF" w14:paraId="476D47A1" w14:textId="77777777" w:rsidTr="000C2FB1">
        <w:trPr>
          <w:trHeight w:val="317"/>
        </w:trPr>
        <w:tc>
          <w:tcPr>
            <w:tcW w:w="2337" w:type="dxa"/>
            <w:vAlign w:val="center"/>
          </w:tcPr>
          <w:p w14:paraId="39B711B3" w14:textId="77777777" w:rsidR="00382EEF" w:rsidRPr="0066616E" w:rsidRDefault="00382EEF" w:rsidP="000C2FB1">
            <w:pPr>
              <w:jc w:val="right"/>
              <w:rPr>
                <w:sz w:val="18"/>
                <w:szCs w:val="18"/>
              </w:rPr>
            </w:pPr>
            <w:r w:rsidRPr="0066616E">
              <w:rPr>
                <w:sz w:val="18"/>
                <w:szCs w:val="18"/>
              </w:rPr>
              <w:t>4</w:t>
            </w:r>
            <w:r w:rsidRPr="0066616E">
              <w:rPr>
                <w:sz w:val="18"/>
                <w:szCs w:val="18"/>
                <w:vertAlign w:val="superscript"/>
              </w:rPr>
              <w:t>th</w:t>
            </w:r>
            <w:r w:rsidRPr="0066616E">
              <w:rPr>
                <w:sz w:val="18"/>
                <w:szCs w:val="18"/>
              </w:rPr>
              <w:t xml:space="preserve"> Grade Reading</w:t>
            </w:r>
          </w:p>
        </w:tc>
        <w:tc>
          <w:tcPr>
            <w:tcW w:w="2337" w:type="dxa"/>
            <w:vAlign w:val="center"/>
          </w:tcPr>
          <w:p w14:paraId="3F2ECC14" w14:textId="77777777" w:rsidR="00382EEF" w:rsidRPr="0066616E" w:rsidRDefault="00382EEF" w:rsidP="000C2FB1">
            <w:pPr>
              <w:jc w:val="center"/>
              <w:rPr>
                <w:sz w:val="18"/>
                <w:szCs w:val="18"/>
              </w:rPr>
            </w:pPr>
            <w:r w:rsidRPr="0066616E">
              <w:rPr>
                <w:sz w:val="18"/>
                <w:szCs w:val="18"/>
              </w:rPr>
              <w:t>17</w:t>
            </w:r>
          </w:p>
        </w:tc>
        <w:tc>
          <w:tcPr>
            <w:tcW w:w="2161" w:type="dxa"/>
            <w:vAlign w:val="center"/>
          </w:tcPr>
          <w:p w14:paraId="0158031F" w14:textId="77777777" w:rsidR="00382EEF" w:rsidRPr="0066616E" w:rsidRDefault="00382EEF" w:rsidP="000C2FB1">
            <w:pPr>
              <w:jc w:val="center"/>
              <w:rPr>
                <w:sz w:val="18"/>
                <w:szCs w:val="18"/>
              </w:rPr>
            </w:pPr>
            <w:r w:rsidRPr="0066616E">
              <w:rPr>
                <w:sz w:val="18"/>
                <w:szCs w:val="18"/>
              </w:rPr>
              <w:t>-0.945</w:t>
            </w:r>
          </w:p>
        </w:tc>
        <w:tc>
          <w:tcPr>
            <w:tcW w:w="2515" w:type="dxa"/>
            <w:vAlign w:val="center"/>
          </w:tcPr>
          <w:p w14:paraId="287C664C" w14:textId="77777777" w:rsidR="00382EEF" w:rsidRPr="0066616E" w:rsidRDefault="00382EEF" w:rsidP="000C2FB1">
            <w:pPr>
              <w:jc w:val="center"/>
              <w:rPr>
                <w:sz w:val="18"/>
                <w:szCs w:val="18"/>
              </w:rPr>
            </w:pPr>
            <w:r w:rsidRPr="0066616E">
              <w:rPr>
                <w:sz w:val="18"/>
                <w:szCs w:val="18"/>
              </w:rPr>
              <w:t>-0.555</w:t>
            </w:r>
          </w:p>
        </w:tc>
      </w:tr>
      <w:tr w:rsidR="00382EEF" w14:paraId="0AD5397D" w14:textId="77777777" w:rsidTr="000C2FB1">
        <w:trPr>
          <w:trHeight w:val="317"/>
        </w:trPr>
        <w:tc>
          <w:tcPr>
            <w:tcW w:w="2337" w:type="dxa"/>
            <w:vAlign w:val="center"/>
          </w:tcPr>
          <w:p w14:paraId="4661BE8C" w14:textId="77777777" w:rsidR="00382EEF" w:rsidRPr="0066616E" w:rsidRDefault="00382EEF" w:rsidP="000C2FB1">
            <w:pPr>
              <w:jc w:val="right"/>
              <w:rPr>
                <w:sz w:val="18"/>
                <w:szCs w:val="18"/>
              </w:rPr>
            </w:pPr>
            <w:r w:rsidRPr="0066616E">
              <w:rPr>
                <w:sz w:val="18"/>
                <w:szCs w:val="18"/>
              </w:rPr>
              <w:t>5</w:t>
            </w:r>
            <w:r w:rsidRPr="0066616E">
              <w:rPr>
                <w:sz w:val="18"/>
                <w:szCs w:val="18"/>
                <w:vertAlign w:val="superscript"/>
              </w:rPr>
              <w:t>th</w:t>
            </w:r>
            <w:r w:rsidRPr="0066616E">
              <w:rPr>
                <w:sz w:val="18"/>
                <w:szCs w:val="18"/>
              </w:rPr>
              <w:t xml:space="preserve"> Grade Reading</w:t>
            </w:r>
          </w:p>
        </w:tc>
        <w:tc>
          <w:tcPr>
            <w:tcW w:w="2337" w:type="dxa"/>
            <w:vAlign w:val="center"/>
          </w:tcPr>
          <w:p w14:paraId="2ED7D4EE" w14:textId="77777777" w:rsidR="00382EEF" w:rsidRPr="0066616E" w:rsidRDefault="00382EEF" w:rsidP="000C2FB1">
            <w:pPr>
              <w:jc w:val="center"/>
              <w:rPr>
                <w:sz w:val="18"/>
                <w:szCs w:val="18"/>
              </w:rPr>
            </w:pPr>
            <w:r w:rsidRPr="0066616E">
              <w:rPr>
                <w:sz w:val="18"/>
                <w:szCs w:val="18"/>
              </w:rPr>
              <w:t>22</w:t>
            </w:r>
          </w:p>
        </w:tc>
        <w:tc>
          <w:tcPr>
            <w:tcW w:w="2161" w:type="dxa"/>
            <w:vAlign w:val="center"/>
          </w:tcPr>
          <w:p w14:paraId="291080A9" w14:textId="77777777" w:rsidR="00382EEF" w:rsidRPr="0066616E" w:rsidRDefault="00382EEF" w:rsidP="000C2FB1">
            <w:pPr>
              <w:jc w:val="center"/>
              <w:rPr>
                <w:sz w:val="18"/>
                <w:szCs w:val="18"/>
              </w:rPr>
            </w:pPr>
            <w:r w:rsidRPr="0066616E">
              <w:rPr>
                <w:sz w:val="18"/>
                <w:szCs w:val="18"/>
              </w:rPr>
              <w:t>-0.599</w:t>
            </w:r>
          </w:p>
        </w:tc>
        <w:tc>
          <w:tcPr>
            <w:tcW w:w="2515" w:type="dxa"/>
            <w:vAlign w:val="center"/>
          </w:tcPr>
          <w:p w14:paraId="792490D5" w14:textId="77777777" w:rsidR="00382EEF" w:rsidRPr="0066616E" w:rsidRDefault="00382EEF" w:rsidP="000C2FB1">
            <w:pPr>
              <w:jc w:val="center"/>
              <w:rPr>
                <w:sz w:val="18"/>
                <w:szCs w:val="18"/>
              </w:rPr>
            </w:pPr>
            <w:r w:rsidRPr="0066616E">
              <w:rPr>
                <w:sz w:val="18"/>
                <w:szCs w:val="18"/>
              </w:rPr>
              <w:t>-0.677</w:t>
            </w:r>
          </w:p>
        </w:tc>
      </w:tr>
      <w:tr w:rsidR="00382EEF" w14:paraId="6C3D0FEF" w14:textId="77777777" w:rsidTr="000C2FB1">
        <w:trPr>
          <w:trHeight w:val="317"/>
        </w:trPr>
        <w:tc>
          <w:tcPr>
            <w:tcW w:w="2337" w:type="dxa"/>
            <w:vAlign w:val="center"/>
          </w:tcPr>
          <w:p w14:paraId="310B187F" w14:textId="77777777" w:rsidR="00382EEF" w:rsidRPr="0066616E" w:rsidRDefault="00382EEF" w:rsidP="000C2FB1">
            <w:pPr>
              <w:jc w:val="right"/>
              <w:rPr>
                <w:sz w:val="18"/>
                <w:szCs w:val="18"/>
              </w:rPr>
            </w:pPr>
            <w:r w:rsidRPr="0066616E">
              <w:rPr>
                <w:sz w:val="18"/>
                <w:szCs w:val="18"/>
              </w:rPr>
              <w:t>6</w:t>
            </w:r>
            <w:r w:rsidRPr="0066616E">
              <w:rPr>
                <w:sz w:val="18"/>
                <w:szCs w:val="18"/>
                <w:vertAlign w:val="superscript"/>
              </w:rPr>
              <w:t>th</w:t>
            </w:r>
            <w:r w:rsidRPr="0066616E">
              <w:rPr>
                <w:sz w:val="18"/>
                <w:szCs w:val="18"/>
              </w:rPr>
              <w:t xml:space="preserve"> Grade Reading</w:t>
            </w:r>
          </w:p>
        </w:tc>
        <w:tc>
          <w:tcPr>
            <w:tcW w:w="2337" w:type="dxa"/>
            <w:vAlign w:val="center"/>
          </w:tcPr>
          <w:p w14:paraId="11B7A0CC" w14:textId="77777777" w:rsidR="00382EEF" w:rsidRPr="0066616E" w:rsidRDefault="00382EEF" w:rsidP="000C2FB1">
            <w:pPr>
              <w:jc w:val="center"/>
              <w:rPr>
                <w:sz w:val="18"/>
                <w:szCs w:val="18"/>
              </w:rPr>
            </w:pPr>
            <w:r w:rsidRPr="0066616E">
              <w:rPr>
                <w:sz w:val="18"/>
                <w:szCs w:val="18"/>
              </w:rPr>
              <w:t>34</w:t>
            </w:r>
          </w:p>
        </w:tc>
        <w:tc>
          <w:tcPr>
            <w:tcW w:w="2161" w:type="dxa"/>
            <w:vAlign w:val="center"/>
          </w:tcPr>
          <w:p w14:paraId="4CA071B9" w14:textId="77777777" w:rsidR="00382EEF" w:rsidRPr="0066616E" w:rsidRDefault="00382EEF" w:rsidP="000C2FB1">
            <w:pPr>
              <w:jc w:val="center"/>
              <w:rPr>
                <w:sz w:val="18"/>
                <w:szCs w:val="18"/>
              </w:rPr>
            </w:pPr>
            <w:r w:rsidRPr="0066616E">
              <w:rPr>
                <w:sz w:val="18"/>
                <w:szCs w:val="18"/>
              </w:rPr>
              <w:t>-0.440</w:t>
            </w:r>
          </w:p>
        </w:tc>
        <w:tc>
          <w:tcPr>
            <w:tcW w:w="2515" w:type="dxa"/>
            <w:vAlign w:val="center"/>
          </w:tcPr>
          <w:p w14:paraId="4237A837" w14:textId="77777777" w:rsidR="00382EEF" w:rsidRPr="0066616E" w:rsidRDefault="00382EEF" w:rsidP="000C2FB1">
            <w:pPr>
              <w:jc w:val="center"/>
              <w:rPr>
                <w:sz w:val="18"/>
                <w:szCs w:val="18"/>
              </w:rPr>
            </w:pPr>
            <w:r w:rsidRPr="0066616E">
              <w:rPr>
                <w:sz w:val="18"/>
                <w:szCs w:val="18"/>
              </w:rPr>
              <w:t>-0.232</w:t>
            </w:r>
          </w:p>
        </w:tc>
      </w:tr>
      <w:tr w:rsidR="00382EEF" w14:paraId="683F246B" w14:textId="77777777" w:rsidTr="000C2FB1">
        <w:trPr>
          <w:trHeight w:val="317"/>
        </w:trPr>
        <w:tc>
          <w:tcPr>
            <w:tcW w:w="2337" w:type="dxa"/>
            <w:vAlign w:val="center"/>
          </w:tcPr>
          <w:p w14:paraId="7D992860" w14:textId="77777777" w:rsidR="00382EEF" w:rsidRPr="0066616E" w:rsidRDefault="00382EEF" w:rsidP="000C2FB1">
            <w:pPr>
              <w:jc w:val="right"/>
              <w:rPr>
                <w:sz w:val="18"/>
                <w:szCs w:val="18"/>
              </w:rPr>
            </w:pPr>
            <w:r w:rsidRPr="0066616E">
              <w:rPr>
                <w:sz w:val="18"/>
                <w:szCs w:val="18"/>
              </w:rPr>
              <w:t>7</w:t>
            </w:r>
            <w:r w:rsidRPr="0066616E">
              <w:rPr>
                <w:sz w:val="18"/>
                <w:szCs w:val="18"/>
                <w:vertAlign w:val="superscript"/>
              </w:rPr>
              <w:t>th</w:t>
            </w:r>
            <w:r w:rsidRPr="0066616E">
              <w:rPr>
                <w:sz w:val="18"/>
                <w:szCs w:val="18"/>
              </w:rPr>
              <w:t xml:space="preserve"> Grade Reading</w:t>
            </w:r>
          </w:p>
        </w:tc>
        <w:tc>
          <w:tcPr>
            <w:tcW w:w="2337" w:type="dxa"/>
            <w:vAlign w:val="center"/>
          </w:tcPr>
          <w:p w14:paraId="77AEE215" w14:textId="77777777" w:rsidR="00382EEF" w:rsidRPr="0066616E" w:rsidRDefault="00382EEF" w:rsidP="000C2FB1">
            <w:pPr>
              <w:jc w:val="center"/>
              <w:rPr>
                <w:sz w:val="18"/>
                <w:szCs w:val="18"/>
              </w:rPr>
            </w:pPr>
            <w:r w:rsidRPr="0066616E">
              <w:rPr>
                <w:sz w:val="18"/>
                <w:szCs w:val="18"/>
              </w:rPr>
              <w:t>34</w:t>
            </w:r>
          </w:p>
        </w:tc>
        <w:tc>
          <w:tcPr>
            <w:tcW w:w="2161" w:type="dxa"/>
            <w:vAlign w:val="center"/>
          </w:tcPr>
          <w:p w14:paraId="0B243F89" w14:textId="77777777" w:rsidR="00382EEF" w:rsidRPr="0066616E" w:rsidRDefault="00382EEF" w:rsidP="000C2FB1">
            <w:pPr>
              <w:jc w:val="center"/>
              <w:rPr>
                <w:sz w:val="18"/>
                <w:szCs w:val="18"/>
              </w:rPr>
            </w:pPr>
            <w:r w:rsidRPr="0066616E">
              <w:rPr>
                <w:sz w:val="18"/>
                <w:szCs w:val="18"/>
              </w:rPr>
              <w:t>-0.760</w:t>
            </w:r>
          </w:p>
        </w:tc>
        <w:tc>
          <w:tcPr>
            <w:tcW w:w="2515" w:type="dxa"/>
            <w:vAlign w:val="center"/>
          </w:tcPr>
          <w:p w14:paraId="08A620A6" w14:textId="77777777" w:rsidR="00382EEF" w:rsidRPr="0066616E" w:rsidRDefault="00382EEF" w:rsidP="000C2FB1">
            <w:pPr>
              <w:jc w:val="center"/>
              <w:rPr>
                <w:sz w:val="18"/>
                <w:szCs w:val="18"/>
              </w:rPr>
            </w:pPr>
            <w:r w:rsidRPr="0066616E">
              <w:rPr>
                <w:sz w:val="18"/>
                <w:szCs w:val="18"/>
              </w:rPr>
              <w:t>-0.786</w:t>
            </w:r>
          </w:p>
        </w:tc>
      </w:tr>
      <w:tr w:rsidR="00382EEF" w14:paraId="49F23157" w14:textId="77777777" w:rsidTr="000C2FB1">
        <w:trPr>
          <w:trHeight w:val="317"/>
        </w:trPr>
        <w:tc>
          <w:tcPr>
            <w:tcW w:w="2337" w:type="dxa"/>
            <w:vAlign w:val="center"/>
          </w:tcPr>
          <w:p w14:paraId="59650BD7" w14:textId="77777777" w:rsidR="00382EEF" w:rsidRPr="0066616E" w:rsidRDefault="00382EEF" w:rsidP="000C2FB1">
            <w:pPr>
              <w:jc w:val="right"/>
              <w:rPr>
                <w:sz w:val="18"/>
                <w:szCs w:val="18"/>
              </w:rPr>
            </w:pPr>
            <w:r w:rsidRPr="0066616E">
              <w:rPr>
                <w:sz w:val="18"/>
                <w:szCs w:val="18"/>
              </w:rPr>
              <w:t>8</w:t>
            </w:r>
            <w:r w:rsidRPr="0066616E">
              <w:rPr>
                <w:sz w:val="18"/>
                <w:szCs w:val="18"/>
                <w:vertAlign w:val="superscript"/>
              </w:rPr>
              <w:t>th</w:t>
            </w:r>
            <w:r w:rsidRPr="0066616E">
              <w:rPr>
                <w:sz w:val="18"/>
                <w:szCs w:val="18"/>
              </w:rPr>
              <w:t xml:space="preserve"> Grade Reading</w:t>
            </w:r>
          </w:p>
        </w:tc>
        <w:tc>
          <w:tcPr>
            <w:tcW w:w="2337" w:type="dxa"/>
            <w:vAlign w:val="center"/>
          </w:tcPr>
          <w:p w14:paraId="14841152" w14:textId="77777777" w:rsidR="00382EEF" w:rsidRPr="0066616E" w:rsidRDefault="00382EEF" w:rsidP="000C2FB1">
            <w:pPr>
              <w:jc w:val="center"/>
              <w:rPr>
                <w:sz w:val="18"/>
                <w:szCs w:val="18"/>
              </w:rPr>
            </w:pPr>
            <w:r w:rsidRPr="0066616E">
              <w:rPr>
                <w:sz w:val="18"/>
                <w:szCs w:val="18"/>
              </w:rPr>
              <w:t>29</w:t>
            </w:r>
          </w:p>
        </w:tc>
        <w:tc>
          <w:tcPr>
            <w:tcW w:w="2161" w:type="dxa"/>
            <w:vAlign w:val="center"/>
          </w:tcPr>
          <w:p w14:paraId="299944F1" w14:textId="77777777" w:rsidR="00382EEF" w:rsidRPr="0066616E" w:rsidRDefault="00382EEF" w:rsidP="000C2FB1">
            <w:pPr>
              <w:jc w:val="center"/>
              <w:rPr>
                <w:sz w:val="18"/>
                <w:szCs w:val="18"/>
              </w:rPr>
            </w:pPr>
            <w:r w:rsidRPr="0066616E">
              <w:rPr>
                <w:sz w:val="18"/>
                <w:szCs w:val="18"/>
              </w:rPr>
              <w:t>-0.792</w:t>
            </w:r>
          </w:p>
        </w:tc>
        <w:tc>
          <w:tcPr>
            <w:tcW w:w="2515" w:type="dxa"/>
            <w:vAlign w:val="center"/>
          </w:tcPr>
          <w:p w14:paraId="77F69655" w14:textId="77777777" w:rsidR="00382EEF" w:rsidRPr="0066616E" w:rsidRDefault="00382EEF" w:rsidP="000C2FB1">
            <w:pPr>
              <w:jc w:val="center"/>
              <w:rPr>
                <w:sz w:val="18"/>
                <w:szCs w:val="18"/>
              </w:rPr>
            </w:pPr>
            <w:r w:rsidRPr="0066616E">
              <w:rPr>
                <w:sz w:val="18"/>
                <w:szCs w:val="18"/>
              </w:rPr>
              <w:t>-0.568</w:t>
            </w:r>
          </w:p>
        </w:tc>
      </w:tr>
      <w:tr w:rsidR="00382EEF" w14:paraId="0D0CBC84" w14:textId="77777777" w:rsidTr="000C2FB1">
        <w:trPr>
          <w:trHeight w:val="317"/>
        </w:trPr>
        <w:tc>
          <w:tcPr>
            <w:tcW w:w="2337" w:type="dxa"/>
            <w:vAlign w:val="center"/>
          </w:tcPr>
          <w:p w14:paraId="6A474BF0" w14:textId="77777777" w:rsidR="00382EEF" w:rsidRPr="0066616E" w:rsidRDefault="00382EEF" w:rsidP="000C2FB1">
            <w:pPr>
              <w:jc w:val="right"/>
              <w:rPr>
                <w:sz w:val="18"/>
                <w:szCs w:val="18"/>
              </w:rPr>
            </w:pPr>
            <w:r w:rsidRPr="0066616E">
              <w:rPr>
                <w:sz w:val="18"/>
                <w:szCs w:val="18"/>
              </w:rPr>
              <w:t>4</w:t>
            </w:r>
            <w:r w:rsidRPr="0066616E">
              <w:rPr>
                <w:sz w:val="18"/>
                <w:szCs w:val="18"/>
                <w:vertAlign w:val="superscript"/>
              </w:rPr>
              <w:t>th</w:t>
            </w:r>
            <w:r w:rsidRPr="0066616E">
              <w:rPr>
                <w:sz w:val="18"/>
                <w:szCs w:val="18"/>
              </w:rPr>
              <w:t xml:space="preserve"> Grade Math</w:t>
            </w:r>
          </w:p>
        </w:tc>
        <w:tc>
          <w:tcPr>
            <w:tcW w:w="2337" w:type="dxa"/>
            <w:vAlign w:val="center"/>
          </w:tcPr>
          <w:p w14:paraId="4C392502" w14:textId="77777777" w:rsidR="00382EEF" w:rsidRPr="0066616E" w:rsidRDefault="00382EEF" w:rsidP="000C2FB1">
            <w:pPr>
              <w:jc w:val="center"/>
              <w:rPr>
                <w:sz w:val="18"/>
                <w:szCs w:val="18"/>
              </w:rPr>
            </w:pPr>
            <w:r w:rsidRPr="0066616E">
              <w:rPr>
                <w:sz w:val="18"/>
                <w:szCs w:val="18"/>
              </w:rPr>
              <w:t>17</w:t>
            </w:r>
          </w:p>
        </w:tc>
        <w:tc>
          <w:tcPr>
            <w:tcW w:w="2161" w:type="dxa"/>
            <w:vAlign w:val="center"/>
          </w:tcPr>
          <w:p w14:paraId="474D8A01" w14:textId="77777777" w:rsidR="00382EEF" w:rsidRPr="0066616E" w:rsidRDefault="00382EEF" w:rsidP="000C2FB1">
            <w:pPr>
              <w:jc w:val="center"/>
              <w:rPr>
                <w:sz w:val="18"/>
                <w:szCs w:val="18"/>
              </w:rPr>
            </w:pPr>
            <w:r w:rsidRPr="0066616E">
              <w:rPr>
                <w:sz w:val="18"/>
                <w:szCs w:val="18"/>
              </w:rPr>
              <w:t>-1.325</w:t>
            </w:r>
          </w:p>
        </w:tc>
        <w:tc>
          <w:tcPr>
            <w:tcW w:w="2515" w:type="dxa"/>
            <w:vAlign w:val="center"/>
          </w:tcPr>
          <w:p w14:paraId="04B41EC2" w14:textId="77777777" w:rsidR="00382EEF" w:rsidRPr="0066616E" w:rsidRDefault="00382EEF" w:rsidP="000C2FB1">
            <w:pPr>
              <w:jc w:val="center"/>
              <w:rPr>
                <w:sz w:val="18"/>
                <w:szCs w:val="18"/>
              </w:rPr>
            </w:pPr>
            <w:r w:rsidRPr="0066616E">
              <w:rPr>
                <w:sz w:val="18"/>
                <w:szCs w:val="18"/>
              </w:rPr>
              <w:t>-0.544</w:t>
            </w:r>
          </w:p>
        </w:tc>
      </w:tr>
      <w:tr w:rsidR="00382EEF" w14:paraId="147E1839" w14:textId="77777777" w:rsidTr="000C2FB1">
        <w:trPr>
          <w:trHeight w:val="317"/>
        </w:trPr>
        <w:tc>
          <w:tcPr>
            <w:tcW w:w="2337" w:type="dxa"/>
            <w:vAlign w:val="center"/>
          </w:tcPr>
          <w:p w14:paraId="3CA8C4BB" w14:textId="77777777" w:rsidR="00382EEF" w:rsidRPr="0066616E" w:rsidRDefault="00382EEF" w:rsidP="000C2FB1">
            <w:pPr>
              <w:jc w:val="right"/>
              <w:rPr>
                <w:sz w:val="18"/>
                <w:szCs w:val="18"/>
              </w:rPr>
            </w:pPr>
            <w:r w:rsidRPr="0066616E">
              <w:rPr>
                <w:sz w:val="18"/>
                <w:szCs w:val="18"/>
              </w:rPr>
              <w:t>5</w:t>
            </w:r>
            <w:r w:rsidRPr="0066616E">
              <w:rPr>
                <w:sz w:val="18"/>
                <w:szCs w:val="18"/>
                <w:vertAlign w:val="superscript"/>
              </w:rPr>
              <w:t>th</w:t>
            </w:r>
            <w:r w:rsidRPr="0066616E">
              <w:rPr>
                <w:sz w:val="18"/>
                <w:szCs w:val="18"/>
              </w:rPr>
              <w:t xml:space="preserve"> Grade Math</w:t>
            </w:r>
          </w:p>
        </w:tc>
        <w:tc>
          <w:tcPr>
            <w:tcW w:w="2337" w:type="dxa"/>
            <w:vAlign w:val="center"/>
          </w:tcPr>
          <w:p w14:paraId="31901D4A" w14:textId="77777777" w:rsidR="00382EEF" w:rsidRPr="0066616E" w:rsidRDefault="00382EEF" w:rsidP="000C2FB1">
            <w:pPr>
              <w:jc w:val="center"/>
              <w:rPr>
                <w:sz w:val="18"/>
                <w:szCs w:val="18"/>
              </w:rPr>
            </w:pPr>
            <w:r w:rsidRPr="0066616E">
              <w:rPr>
                <w:sz w:val="18"/>
                <w:szCs w:val="18"/>
              </w:rPr>
              <w:t>22</w:t>
            </w:r>
          </w:p>
        </w:tc>
        <w:tc>
          <w:tcPr>
            <w:tcW w:w="2161" w:type="dxa"/>
            <w:vAlign w:val="center"/>
          </w:tcPr>
          <w:p w14:paraId="00C0742E" w14:textId="77777777" w:rsidR="00382EEF" w:rsidRPr="0066616E" w:rsidRDefault="00382EEF" w:rsidP="000C2FB1">
            <w:pPr>
              <w:jc w:val="center"/>
              <w:rPr>
                <w:sz w:val="18"/>
                <w:szCs w:val="18"/>
              </w:rPr>
            </w:pPr>
            <w:r w:rsidRPr="0066616E">
              <w:rPr>
                <w:sz w:val="18"/>
                <w:szCs w:val="18"/>
              </w:rPr>
              <w:t>-0.367</w:t>
            </w:r>
          </w:p>
        </w:tc>
        <w:tc>
          <w:tcPr>
            <w:tcW w:w="2515" w:type="dxa"/>
            <w:vAlign w:val="center"/>
          </w:tcPr>
          <w:p w14:paraId="7235C972" w14:textId="77777777" w:rsidR="00382EEF" w:rsidRPr="0066616E" w:rsidRDefault="00382EEF" w:rsidP="000C2FB1">
            <w:pPr>
              <w:jc w:val="center"/>
              <w:rPr>
                <w:sz w:val="18"/>
                <w:szCs w:val="18"/>
              </w:rPr>
            </w:pPr>
            <w:r w:rsidRPr="0066616E">
              <w:rPr>
                <w:sz w:val="18"/>
                <w:szCs w:val="18"/>
              </w:rPr>
              <w:t>-0.424</w:t>
            </w:r>
          </w:p>
        </w:tc>
      </w:tr>
      <w:tr w:rsidR="00382EEF" w14:paraId="1DA4AA9E" w14:textId="77777777" w:rsidTr="000C2FB1">
        <w:trPr>
          <w:trHeight w:val="317"/>
        </w:trPr>
        <w:tc>
          <w:tcPr>
            <w:tcW w:w="2337" w:type="dxa"/>
            <w:vAlign w:val="center"/>
          </w:tcPr>
          <w:p w14:paraId="447400D3" w14:textId="77777777" w:rsidR="00382EEF" w:rsidRPr="0066616E" w:rsidRDefault="00382EEF" w:rsidP="000C2FB1">
            <w:pPr>
              <w:jc w:val="right"/>
              <w:rPr>
                <w:sz w:val="18"/>
                <w:szCs w:val="18"/>
              </w:rPr>
            </w:pPr>
            <w:r w:rsidRPr="0066616E">
              <w:rPr>
                <w:sz w:val="18"/>
                <w:szCs w:val="18"/>
              </w:rPr>
              <w:t>6</w:t>
            </w:r>
            <w:r w:rsidRPr="0066616E">
              <w:rPr>
                <w:sz w:val="18"/>
                <w:szCs w:val="18"/>
                <w:vertAlign w:val="superscript"/>
              </w:rPr>
              <w:t>th</w:t>
            </w:r>
            <w:r w:rsidRPr="0066616E">
              <w:rPr>
                <w:sz w:val="18"/>
                <w:szCs w:val="18"/>
              </w:rPr>
              <w:t xml:space="preserve"> Grade Math</w:t>
            </w:r>
          </w:p>
        </w:tc>
        <w:tc>
          <w:tcPr>
            <w:tcW w:w="2337" w:type="dxa"/>
            <w:vAlign w:val="center"/>
          </w:tcPr>
          <w:p w14:paraId="31506862" w14:textId="77777777" w:rsidR="00382EEF" w:rsidRPr="0066616E" w:rsidRDefault="00382EEF" w:rsidP="000C2FB1">
            <w:pPr>
              <w:jc w:val="center"/>
              <w:rPr>
                <w:sz w:val="18"/>
                <w:szCs w:val="18"/>
              </w:rPr>
            </w:pPr>
            <w:r w:rsidRPr="0066616E">
              <w:rPr>
                <w:sz w:val="18"/>
                <w:szCs w:val="18"/>
              </w:rPr>
              <w:t>34</w:t>
            </w:r>
          </w:p>
        </w:tc>
        <w:tc>
          <w:tcPr>
            <w:tcW w:w="2161" w:type="dxa"/>
            <w:vAlign w:val="center"/>
          </w:tcPr>
          <w:p w14:paraId="74C1473F" w14:textId="77777777" w:rsidR="00382EEF" w:rsidRPr="0066616E" w:rsidRDefault="00382EEF" w:rsidP="000C2FB1">
            <w:pPr>
              <w:jc w:val="center"/>
              <w:rPr>
                <w:sz w:val="18"/>
                <w:szCs w:val="18"/>
              </w:rPr>
            </w:pPr>
            <w:r w:rsidRPr="0066616E">
              <w:rPr>
                <w:sz w:val="18"/>
                <w:szCs w:val="18"/>
              </w:rPr>
              <w:t>-0.474</w:t>
            </w:r>
          </w:p>
        </w:tc>
        <w:tc>
          <w:tcPr>
            <w:tcW w:w="2515" w:type="dxa"/>
            <w:vAlign w:val="center"/>
          </w:tcPr>
          <w:p w14:paraId="35D73F50" w14:textId="77777777" w:rsidR="00382EEF" w:rsidRPr="0066616E" w:rsidRDefault="00382EEF" w:rsidP="000C2FB1">
            <w:pPr>
              <w:jc w:val="center"/>
              <w:rPr>
                <w:sz w:val="18"/>
                <w:szCs w:val="18"/>
              </w:rPr>
            </w:pPr>
            <w:r w:rsidRPr="0066616E">
              <w:rPr>
                <w:sz w:val="18"/>
                <w:szCs w:val="18"/>
              </w:rPr>
              <w:t>-0.374</w:t>
            </w:r>
          </w:p>
        </w:tc>
      </w:tr>
      <w:tr w:rsidR="00382EEF" w14:paraId="17E662F3" w14:textId="77777777" w:rsidTr="000C2FB1">
        <w:trPr>
          <w:trHeight w:val="317"/>
        </w:trPr>
        <w:tc>
          <w:tcPr>
            <w:tcW w:w="2337" w:type="dxa"/>
            <w:vAlign w:val="center"/>
          </w:tcPr>
          <w:p w14:paraId="51323EF9" w14:textId="77777777" w:rsidR="00382EEF" w:rsidRPr="0066616E" w:rsidRDefault="00382EEF" w:rsidP="000C2FB1">
            <w:pPr>
              <w:jc w:val="right"/>
              <w:rPr>
                <w:sz w:val="18"/>
                <w:szCs w:val="18"/>
              </w:rPr>
            </w:pPr>
            <w:r w:rsidRPr="0066616E">
              <w:rPr>
                <w:sz w:val="18"/>
                <w:szCs w:val="18"/>
              </w:rPr>
              <w:t>7</w:t>
            </w:r>
            <w:r w:rsidRPr="0066616E">
              <w:rPr>
                <w:sz w:val="18"/>
                <w:szCs w:val="18"/>
                <w:vertAlign w:val="superscript"/>
              </w:rPr>
              <w:t>th</w:t>
            </w:r>
            <w:r w:rsidRPr="0066616E">
              <w:rPr>
                <w:sz w:val="18"/>
                <w:szCs w:val="18"/>
              </w:rPr>
              <w:t xml:space="preserve"> Grade Math</w:t>
            </w:r>
          </w:p>
        </w:tc>
        <w:tc>
          <w:tcPr>
            <w:tcW w:w="2337" w:type="dxa"/>
            <w:vAlign w:val="center"/>
          </w:tcPr>
          <w:p w14:paraId="0FA6AC8E" w14:textId="77777777" w:rsidR="00382EEF" w:rsidRPr="0066616E" w:rsidRDefault="00382EEF" w:rsidP="000C2FB1">
            <w:pPr>
              <w:jc w:val="center"/>
              <w:rPr>
                <w:sz w:val="18"/>
                <w:szCs w:val="18"/>
              </w:rPr>
            </w:pPr>
            <w:r w:rsidRPr="0066616E">
              <w:rPr>
                <w:sz w:val="18"/>
                <w:szCs w:val="18"/>
              </w:rPr>
              <w:t>34</w:t>
            </w:r>
          </w:p>
        </w:tc>
        <w:tc>
          <w:tcPr>
            <w:tcW w:w="2161" w:type="dxa"/>
            <w:vAlign w:val="center"/>
          </w:tcPr>
          <w:p w14:paraId="08366BC0" w14:textId="77777777" w:rsidR="00382EEF" w:rsidRPr="0066616E" w:rsidRDefault="00382EEF" w:rsidP="000C2FB1">
            <w:pPr>
              <w:jc w:val="center"/>
              <w:rPr>
                <w:sz w:val="18"/>
                <w:szCs w:val="18"/>
              </w:rPr>
            </w:pPr>
            <w:r w:rsidRPr="0066616E">
              <w:rPr>
                <w:sz w:val="18"/>
                <w:szCs w:val="18"/>
              </w:rPr>
              <w:t>-0.904</w:t>
            </w:r>
          </w:p>
        </w:tc>
        <w:tc>
          <w:tcPr>
            <w:tcW w:w="2515" w:type="dxa"/>
            <w:vAlign w:val="center"/>
          </w:tcPr>
          <w:p w14:paraId="2AD06604" w14:textId="77777777" w:rsidR="00382EEF" w:rsidRPr="0066616E" w:rsidRDefault="00382EEF" w:rsidP="000C2FB1">
            <w:pPr>
              <w:jc w:val="center"/>
              <w:rPr>
                <w:sz w:val="18"/>
                <w:szCs w:val="18"/>
              </w:rPr>
            </w:pPr>
            <w:r w:rsidRPr="0066616E">
              <w:rPr>
                <w:sz w:val="18"/>
                <w:szCs w:val="18"/>
              </w:rPr>
              <w:t>-1.068</w:t>
            </w:r>
          </w:p>
        </w:tc>
      </w:tr>
      <w:tr w:rsidR="00382EEF" w14:paraId="26E6E255" w14:textId="77777777" w:rsidTr="000C2FB1">
        <w:trPr>
          <w:trHeight w:val="317"/>
        </w:trPr>
        <w:tc>
          <w:tcPr>
            <w:tcW w:w="2337" w:type="dxa"/>
            <w:vAlign w:val="center"/>
          </w:tcPr>
          <w:p w14:paraId="7C6EC04B" w14:textId="77777777" w:rsidR="00382EEF" w:rsidRPr="0066616E" w:rsidRDefault="00382EEF" w:rsidP="000C2FB1">
            <w:pPr>
              <w:jc w:val="right"/>
              <w:rPr>
                <w:sz w:val="18"/>
                <w:szCs w:val="18"/>
              </w:rPr>
            </w:pPr>
            <w:r w:rsidRPr="0066616E">
              <w:rPr>
                <w:sz w:val="18"/>
                <w:szCs w:val="18"/>
              </w:rPr>
              <w:t>8</w:t>
            </w:r>
            <w:r w:rsidRPr="0066616E">
              <w:rPr>
                <w:sz w:val="18"/>
                <w:szCs w:val="18"/>
                <w:vertAlign w:val="superscript"/>
              </w:rPr>
              <w:t>th</w:t>
            </w:r>
            <w:r w:rsidRPr="0066616E">
              <w:rPr>
                <w:sz w:val="18"/>
                <w:szCs w:val="18"/>
              </w:rPr>
              <w:t xml:space="preserve"> Grade Math</w:t>
            </w:r>
          </w:p>
        </w:tc>
        <w:tc>
          <w:tcPr>
            <w:tcW w:w="2337" w:type="dxa"/>
            <w:vAlign w:val="center"/>
          </w:tcPr>
          <w:p w14:paraId="3FD3EA0B" w14:textId="77777777" w:rsidR="00382EEF" w:rsidRPr="0066616E" w:rsidRDefault="00382EEF" w:rsidP="000C2FB1">
            <w:pPr>
              <w:jc w:val="center"/>
              <w:rPr>
                <w:sz w:val="18"/>
                <w:szCs w:val="18"/>
              </w:rPr>
            </w:pPr>
            <w:r w:rsidRPr="0066616E">
              <w:rPr>
                <w:sz w:val="18"/>
                <w:szCs w:val="18"/>
              </w:rPr>
              <w:t>29</w:t>
            </w:r>
          </w:p>
        </w:tc>
        <w:tc>
          <w:tcPr>
            <w:tcW w:w="2161" w:type="dxa"/>
            <w:vAlign w:val="center"/>
          </w:tcPr>
          <w:p w14:paraId="3FC677F2" w14:textId="77777777" w:rsidR="00382EEF" w:rsidRPr="0066616E" w:rsidRDefault="00382EEF" w:rsidP="000C2FB1">
            <w:pPr>
              <w:jc w:val="center"/>
              <w:rPr>
                <w:sz w:val="18"/>
                <w:szCs w:val="18"/>
              </w:rPr>
            </w:pPr>
            <w:r w:rsidRPr="0066616E">
              <w:rPr>
                <w:sz w:val="18"/>
                <w:szCs w:val="18"/>
              </w:rPr>
              <w:t>-0.417</w:t>
            </w:r>
          </w:p>
        </w:tc>
        <w:tc>
          <w:tcPr>
            <w:tcW w:w="2515" w:type="dxa"/>
            <w:vAlign w:val="center"/>
          </w:tcPr>
          <w:p w14:paraId="3BF4517C" w14:textId="77777777" w:rsidR="00382EEF" w:rsidRPr="0066616E" w:rsidRDefault="00382EEF" w:rsidP="000C2FB1">
            <w:pPr>
              <w:jc w:val="center"/>
              <w:rPr>
                <w:sz w:val="18"/>
                <w:szCs w:val="18"/>
              </w:rPr>
            </w:pPr>
            <w:r w:rsidRPr="0066616E">
              <w:rPr>
                <w:sz w:val="18"/>
                <w:szCs w:val="18"/>
              </w:rPr>
              <w:t>-0.774</w:t>
            </w:r>
          </w:p>
        </w:tc>
      </w:tr>
    </w:tbl>
    <w:p w14:paraId="02859A05" w14:textId="77777777" w:rsidR="00382EEF" w:rsidRDefault="00382EEF" w:rsidP="00382EEF">
      <w:pPr>
        <w:spacing w:after="0" w:line="240" w:lineRule="auto"/>
        <w:jc w:val="both"/>
      </w:pPr>
      <w:r>
        <w:rPr>
          <w:sz w:val="16"/>
        </w:rPr>
        <w:t>Note: For the Appalachian Academy at Middle Fork, the Moss Street Partnership School, and D.C. Virgo Preparatory Academy, this table presents students’ EOG test scores (standardized) in 2018-19 and their prior scores (standardized) from the same subject-area (reading or math) in the 2017-18 school year. Not all laboratory school students have test scores in both periods.</w:t>
      </w:r>
    </w:p>
    <w:p w14:paraId="6454720A" w14:textId="77777777" w:rsidR="004A191B" w:rsidRDefault="004A191B" w:rsidP="004A191B">
      <w:pPr>
        <w:spacing w:after="0" w:line="240" w:lineRule="auto"/>
        <w:rPr>
          <w:i/>
        </w:rPr>
      </w:pPr>
    </w:p>
    <w:p w14:paraId="16A7CA5E" w14:textId="77777777" w:rsidR="004A191B" w:rsidRDefault="004A191B" w:rsidP="004A191B">
      <w:pPr>
        <w:spacing w:after="0" w:line="240" w:lineRule="auto"/>
        <w:rPr>
          <w:i/>
        </w:rPr>
      </w:pPr>
    </w:p>
    <w:p w14:paraId="3E0B3EBB" w14:textId="77777777" w:rsidR="004A191B" w:rsidRDefault="004A191B" w:rsidP="004A191B">
      <w:pPr>
        <w:spacing w:after="0" w:line="240" w:lineRule="auto"/>
        <w:rPr>
          <w:i/>
        </w:rPr>
      </w:pPr>
    </w:p>
    <w:p w14:paraId="4DF273A2" w14:textId="77777777" w:rsidR="003F129D" w:rsidRDefault="003F129D" w:rsidP="003F129D">
      <w:pPr>
        <w:spacing w:after="0" w:line="240" w:lineRule="auto"/>
        <w:rPr>
          <w:i/>
        </w:rPr>
      </w:pPr>
    </w:p>
    <w:p w14:paraId="7B08D310" w14:textId="77777777" w:rsidR="003F129D" w:rsidRDefault="003F129D" w:rsidP="003F129D">
      <w:pPr>
        <w:spacing w:after="0" w:line="240" w:lineRule="auto"/>
        <w:rPr>
          <w:i/>
        </w:rPr>
      </w:pPr>
    </w:p>
    <w:p w14:paraId="423392FF" w14:textId="77777777" w:rsidR="003F129D" w:rsidRDefault="003F129D" w:rsidP="003F129D">
      <w:pPr>
        <w:spacing w:after="0" w:line="240" w:lineRule="auto"/>
        <w:rPr>
          <w:i/>
        </w:rPr>
      </w:pPr>
    </w:p>
    <w:p w14:paraId="0E4A955D" w14:textId="77777777" w:rsidR="003F129D" w:rsidRDefault="003F129D" w:rsidP="003F129D">
      <w:pPr>
        <w:spacing w:after="0" w:line="240" w:lineRule="auto"/>
        <w:rPr>
          <w:i/>
        </w:rPr>
      </w:pPr>
    </w:p>
    <w:p w14:paraId="5C9CE377" w14:textId="77777777" w:rsidR="003F129D" w:rsidRDefault="003F129D" w:rsidP="003F129D">
      <w:pPr>
        <w:spacing w:after="0" w:line="240" w:lineRule="auto"/>
        <w:rPr>
          <w:i/>
        </w:rPr>
      </w:pPr>
    </w:p>
    <w:p w14:paraId="6E38CC93" w14:textId="77777777" w:rsidR="003F129D" w:rsidRDefault="003F129D" w:rsidP="003F129D">
      <w:pPr>
        <w:spacing w:after="0" w:line="240" w:lineRule="auto"/>
        <w:rPr>
          <w:i/>
        </w:rPr>
      </w:pPr>
    </w:p>
    <w:p w14:paraId="7FF8CA1E" w14:textId="09CF3BE1" w:rsidR="003F129D" w:rsidRDefault="003F129D" w:rsidP="003F129D">
      <w:pPr>
        <w:spacing w:after="0" w:line="240" w:lineRule="auto"/>
        <w:rPr>
          <w:i/>
        </w:rPr>
      </w:pPr>
      <w:r>
        <w:rPr>
          <w:i/>
        </w:rPr>
        <w:lastRenderedPageBreak/>
        <w:t xml:space="preserve">Appendix Table A5.7:  </w:t>
      </w:r>
      <w:r w:rsidRPr="00037B20">
        <w:rPr>
          <w:i/>
        </w:rPr>
        <w:t>Comparing</w:t>
      </w:r>
      <w:r>
        <w:rPr>
          <w:i/>
        </w:rPr>
        <w:t xml:space="preserve"> Test Score Data in 2018-19 and 2017-18 for Laboratory School Students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337"/>
        <w:gridCol w:w="2337"/>
        <w:gridCol w:w="2161"/>
        <w:gridCol w:w="2515"/>
      </w:tblGrid>
      <w:tr w:rsidR="003F129D" w14:paraId="6929C201" w14:textId="77777777" w:rsidTr="000C2FB1">
        <w:trPr>
          <w:trHeight w:val="317"/>
        </w:trPr>
        <w:tc>
          <w:tcPr>
            <w:tcW w:w="2337" w:type="dxa"/>
            <w:shd w:val="clear" w:color="auto" w:fill="F2F2F2" w:themeFill="background1" w:themeFillShade="F2"/>
            <w:vAlign w:val="center"/>
          </w:tcPr>
          <w:p w14:paraId="066ECF46" w14:textId="77777777" w:rsidR="003F129D" w:rsidRPr="00851BC8" w:rsidRDefault="003F129D" w:rsidP="000C2FB1">
            <w:pPr>
              <w:jc w:val="center"/>
            </w:pPr>
            <w:r w:rsidRPr="00851BC8">
              <w:t>Test</w:t>
            </w:r>
          </w:p>
        </w:tc>
        <w:tc>
          <w:tcPr>
            <w:tcW w:w="2337" w:type="dxa"/>
            <w:shd w:val="clear" w:color="auto" w:fill="F2F2F2" w:themeFill="background1" w:themeFillShade="F2"/>
            <w:vAlign w:val="center"/>
          </w:tcPr>
          <w:p w14:paraId="641252F8" w14:textId="77777777" w:rsidR="003F129D" w:rsidRPr="00851BC8" w:rsidRDefault="003F129D" w:rsidP="000C2FB1">
            <w:pPr>
              <w:jc w:val="center"/>
            </w:pPr>
            <w:r w:rsidRPr="00851BC8">
              <w:t xml:space="preserve">Count of Students with Test Data in </w:t>
            </w:r>
            <w:r w:rsidRPr="00A76901">
              <w:rPr>
                <w:b/>
                <w:u w:val="single"/>
              </w:rPr>
              <w:t>Both</w:t>
            </w:r>
            <w:r w:rsidRPr="00851BC8">
              <w:t xml:space="preserve"> Periods</w:t>
            </w:r>
          </w:p>
        </w:tc>
        <w:tc>
          <w:tcPr>
            <w:tcW w:w="2161" w:type="dxa"/>
            <w:shd w:val="clear" w:color="auto" w:fill="F2F2F2" w:themeFill="background1" w:themeFillShade="F2"/>
            <w:vAlign w:val="center"/>
          </w:tcPr>
          <w:p w14:paraId="2E05EA2F" w14:textId="77777777" w:rsidR="003F129D" w:rsidRPr="00851BC8" w:rsidRDefault="003F129D" w:rsidP="000C2FB1">
            <w:pPr>
              <w:jc w:val="center"/>
            </w:pPr>
            <w:r w:rsidRPr="00851BC8">
              <w:t>201</w:t>
            </w:r>
            <w:r>
              <w:t>8-19</w:t>
            </w:r>
            <w:r w:rsidRPr="00851BC8">
              <w:t xml:space="preserve"> Test Score</w:t>
            </w:r>
          </w:p>
          <w:p w14:paraId="33F5CABE" w14:textId="77777777" w:rsidR="003F129D" w:rsidRPr="00851BC8" w:rsidRDefault="003F129D" w:rsidP="000C2FB1">
            <w:pPr>
              <w:jc w:val="center"/>
            </w:pPr>
            <w:r w:rsidRPr="00851BC8">
              <w:t>(Standardized)</w:t>
            </w:r>
          </w:p>
        </w:tc>
        <w:tc>
          <w:tcPr>
            <w:tcW w:w="2515" w:type="dxa"/>
            <w:shd w:val="clear" w:color="auto" w:fill="F2F2F2" w:themeFill="background1" w:themeFillShade="F2"/>
            <w:vAlign w:val="center"/>
          </w:tcPr>
          <w:p w14:paraId="776FA14E" w14:textId="77777777" w:rsidR="003F129D" w:rsidRPr="00851BC8" w:rsidRDefault="003F129D" w:rsidP="000C2FB1">
            <w:pPr>
              <w:jc w:val="center"/>
            </w:pPr>
            <w:r w:rsidRPr="00851BC8">
              <w:t>Prior Year (201</w:t>
            </w:r>
            <w:r>
              <w:t>7-18</w:t>
            </w:r>
            <w:r w:rsidRPr="00851BC8">
              <w:t>) Test Score in the Same Subject-Area</w:t>
            </w:r>
          </w:p>
          <w:p w14:paraId="108C15B7" w14:textId="77777777" w:rsidR="003F129D" w:rsidRPr="00851BC8" w:rsidRDefault="003F129D" w:rsidP="000C2FB1">
            <w:pPr>
              <w:jc w:val="center"/>
            </w:pPr>
            <w:r w:rsidRPr="00851BC8">
              <w:t>(Standardized)</w:t>
            </w:r>
          </w:p>
        </w:tc>
      </w:tr>
      <w:tr w:rsidR="003F129D" w14:paraId="02B6B8B6" w14:textId="77777777" w:rsidTr="000C2FB1">
        <w:trPr>
          <w:trHeight w:val="317"/>
        </w:trPr>
        <w:tc>
          <w:tcPr>
            <w:tcW w:w="9350" w:type="dxa"/>
            <w:gridSpan w:val="4"/>
            <w:vAlign w:val="center"/>
          </w:tcPr>
          <w:p w14:paraId="020486DF" w14:textId="22C1BDF5" w:rsidR="003F129D" w:rsidRPr="0056185B" w:rsidRDefault="003F129D" w:rsidP="000C2FB1">
            <w:pPr>
              <w:jc w:val="center"/>
              <w:rPr>
                <w:i/>
                <w:sz w:val="20"/>
                <w:szCs w:val="20"/>
              </w:rPr>
            </w:pPr>
            <w:r>
              <w:rPr>
                <w:i/>
                <w:sz w:val="20"/>
                <w:szCs w:val="20"/>
              </w:rPr>
              <w:t>ECU Community School</w:t>
            </w:r>
          </w:p>
        </w:tc>
      </w:tr>
      <w:tr w:rsidR="00B95D95" w14:paraId="26E646D0" w14:textId="77777777" w:rsidTr="000C2FB1">
        <w:trPr>
          <w:trHeight w:val="317"/>
        </w:trPr>
        <w:tc>
          <w:tcPr>
            <w:tcW w:w="2337" w:type="dxa"/>
            <w:vAlign w:val="center"/>
          </w:tcPr>
          <w:p w14:paraId="36D8CB3A" w14:textId="604CA190" w:rsidR="00B95D95" w:rsidRPr="0066616E" w:rsidRDefault="00B95D95" w:rsidP="00B95D95">
            <w:pPr>
              <w:jc w:val="right"/>
              <w:rPr>
                <w:sz w:val="18"/>
                <w:szCs w:val="18"/>
              </w:rPr>
            </w:pPr>
            <w:r w:rsidRPr="0066616E">
              <w:rPr>
                <w:sz w:val="18"/>
                <w:szCs w:val="18"/>
              </w:rPr>
              <w:t>4</w:t>
            </w:r>
            <w:r w:rsidRPr="0066616E">
              <w:rPr>
                <w:sz w:val="18"/>
                <w:szCs w:val="18"/>
                <w:vertAlign w:val="superscript"/>
              </w:rPr>
              <w:t>th</w:t>
            </w:r>
            <w:r w:rsidRPr="0066616E">
              <w:rPr>
                <w:sz w:val="18"/>
                <w:szCs w:val="18"/>
              </w:rPr>
              <w:t xml:space="preserve"> Grade Reading</w:t>
            </w:r>
          </w:p>
        </w:tc>
        <w:tc>
          <w:tcPr>
            <w:tcW w:w="2337" w:type="dxa"/>
            <w:vAlign w:val="center"/>
          </w:tcPr>
          <w:p w14:paraId="35F947E2" w14:textId="76DF0E5D" w:rsidR="00B95D95" w:rsidRPr="0066616E" w:rsidRDefault="00B95D95" w:rsidP="00B95D95">
            <w:pPr>
              <w:jc w:val="center"/>
              <w:rPr>
                <w:sz w:val="18"/>
                <w:szCs w:val="18"/>
              </w:rPr>
            </w:pPr>
            <w:r>
              <w:rPr>
                <w:sz w:val="18"/>
                <w:szCs w:val="18"/>
              </w:rPr>
              <w:t>14</w:t>
            </w:r>
          </w:p>
        </w:tc>
        <w:tc>
          <w:tcPr>
            <w:tcW w:w="2161" w:type="dxa"/>
            <w:vAlign w:val="center"/>
          </w:tcPr>
          <w:p w14:paraId="374776CE" w14:textId="66370C0E" w:rsidR="00B95D95" w:rsidRPr="0066616E" w:rsidRDefault="00B95D95" w:rsidP="00B95D95">
            <w:pPr>
              <w:jc w:val="center"/>
              <w:rPr>
                <w:sz w:val="18"/>
                <w:szCs w:val="18"/>
              </w:rPr>
            </w:pPr>
            <w:r>
              <w:rPr>
                <w:sz w:val="18"/>
                <w:szCs w:val="18"/>
              </w:rPr>
              <w:t>-0.871</w:t>
            </w:r>
          </w:p>
        </w:tc>
        <w:tc>
          <w:tcPr>
            <w:tcW w:w="2515" w:type="dxa"/>
            <w:vAlign w:val="center"/>
          </w:tcPr>
          <w:p w14:paraId="4BA57E2C" w14:textId="68D6621B" w:rsidR="00B95D95" w:rsidRPr="0066616E" w:rsidRDefault="00B95D95" w:rsidP="00B95D95">
            <w:pPr>
              <w:jc w:val="center"/>
              <w:rPr>
                <w:sz w:val="18"/>
                <w:szCs w:val="18"/>
              </w:rPr>
            </w:pPr>
            <w:r>
              <w:rPr>
                <w:sz w:val="18"/>
                <w:szCs w:val="18"/>
              </w:rPr>
              <w:t>-1.122</w:t>
            </w:r>
          </w:p>
        </w:tc>
      </w:tr>
      <w:tr w:rsidR="00B95D95" w14:paraId="74114685" w14:textId="77777777" w:rsidTr="000C2FB1">
        <w:trPr>
          <w:trHeight w:val="317"/>
        </w:trPr>
        <w:tc>
          <w:tcPr>
            <w:tcW w:w="2337" w:type="dxa"/>
            <w:vAlign w:val="center"/>
          </w:tcPr>
          <w:p w14:paraId="6B375175" w14:textId="037E8AAB" w:rsidR="00B95D95" w:rsidRPr="0066616E" w:rsidRDefault="00B95D95" w:rsidP="00B95D95">
            <w:pPr>
              <w:jc w:val="right"/>
              <w:rPr>
                <w:sz w:val="18"/>
                <w:szCs w:val="18"/>
              </w:rPr>
            </w:pPr>
            <w:r w:rsidRPr="0066616E">
              <w:rPr>
                <w:sz w:val="18"/>
                <w:szCs w:val="18"/>
              </w:rPr>
              <w:t>5</w:t>
            </w:r>
            <w:r w:rsidRPr="0066616E">
              <w:rPr>
                <w:sz w:val="18"/>
                <w:szCs w:val="18"/>
                <w:vertAlign w:val="superscript"/>
              </w:rPr>
              <w:t>th</w:t>
            </w:r>
            <w:r w:rsidRPr="0066616E">
              <w:rPr>
                <w:sz w:val="18"/>
                <w:szCs w:val="18"/>
              </w:rPr>
              <w:t xml:space="preserve"> Grade Reading</w:t>
            </w:r>
          </w:p>
        </w:tc>
        <w:tc>
          <w:tcPr>
            <w:tcW w:w="2337" w:type="dxa"/>
            <w:vAlign w:val="center"/>
          </w:tcPr>
          <w:p w14:paraId="443CE2AD" w14:textId="289A61F8" w:rsidR="00B95D95" w:rsidRPr="0066616E" w:rsidRDefault="00B95D95" w:rsidP="00B95D95">
            <w:pPr>
              <w:jc w:val="center"/>
              <w:rPr>
                <w:sz w:val="18"/>
                <w:szCs w:val="18"/>
              </w:rPr>
            </w:pPr>
            <w:r>
              <w:rPr>
                <w:sz w:val="18"/>
                <w:szCs w:val="18"/>
              </w:rPr>
              <w:t>14</w:t>
            </w:r>
          </w:p>
        </w:tc>
        <w:tc>
          <w:tcPr>
            <w:tcW w:w="2161" w:type="dxa"/>
            <w:vAlign w:val="center"/>
          </w:tcPr>
          <w:p w14:paraId="6ED0D359" w14:textId="45AD2223" w:rsidR="00B95D95" w:rsidRPr="0066616E" w:rsidRDefault="00B95D95" w:rsidP="00B95D95">
            <w:pPr>
              <w:jc w:val="center"/>
              <w:rPr>
                <w:sz w:val="18"/>
                <w:szCs w:val="18"/>
              </w:rPr>
            </w:pPr>
            <w:r>
              <w:rPr>
                <w:sz w:val="18"/>
                <w:szCs w:val="18"/>
              </w:rPr>
              <w:t>-0.964</w:t>
            </w:r>
          </w:p>
        </w:tc>
        <w:tc>
          <w:tcPr>
            <w:tcW w:w="2515" w:type="dxa"/>
            <w:vAlign w:val="center"/>
          </w:tcPr>
          <w:p w14:paraId="5C48E8A1" w14:textId="1E0377A7" w:rsidR="00B95D95" w:rsidRPr="0066616E" w:rsidRDefault="00B95D95" w:rsidP="00B95D95">
            <w:pPr>
              <w:jc w:val="center"/>
              <w:rPr>
                <w:sz w:val="18"/>
                <w:szCs w:val="18"/>
              </w:rPr>
            </w:pPr>
            <w:r>
              <w:rPr>
                <w:sz w:val="18"/>
                <w:szCs w:val="18"/>
              </w:rPr>
              <w:t>-1.132</w:t>
            </w:r>
          </w:p>
        </w:tc>
      </w:tr>
      <w:tr w:rsidR="00B95D95" w14:paraId="44210FAE" w14:textId="77777777" w:rsidTr="000C2FB1">
        <w:trPr>
          <w:trHeight w:val="317"/>
        </w:trPr>
        <w:tc>
          <w:tcPr>
            <w:tcW w:w="2337" w:type="dxa"/>
            <w:vAlign w:val="center"/>
          </w:tcPr>
          <w:p w14:paraId="55CB5AF2" w14:textId="4584D7D5" w:rsidR="00B95D95" w:rsidRPr="0066616E" w:rsidRDefault="00B95D95" w:rsidP="00B95D95">
            <w:pPr>
              <w:jc w:val="right"/>
              <w:rPr>
                <w:sz w:val="18"/>
                <w:szCs w:val="18"/>
              </w:rPr>
            </w:pPr>
            <w:r w:rsidRPr="0066616E">
              <w:rPr>
                <w:sz w:val="18"/>
                <w:szCs w:val="18"/>
              </w:rPr>
              <w:t>4</w:t>
            </w:r>
            <w:r w:rsidRPr="0066616E">
              <w:rPr>
                <w:sz w:val="18"/>
                <w:szCs w:val="18"/>
                <w:vertAlign w:val="superscript"/>
              </w:rPr>
              <w:t>th</w:t>
            </w:r>
            <w:r w:rsidRPr="0066616E">
              <w:rPr>
                <w:sz w:val="18"/>
                <w:szCs w:val="18"/>
              </w:rPr>
              <w:t xml:space="preserve"> Grade Math</w:t>
            </w:r>
          </w:p>
        </w:tc>
        <w:tc>
          <w:tcPr>
            <w:tcW w:w="2337" w:type="dxa"/>
            <w:vAlign w:val="center"/>
          </w:tcPr>
          <w:p w14:paraId="756CCEDA" w14:textId="1458DC41" w:rsidR="00B95D95" w:rsidRPr="0066616E" w:rsidRDefault="00B95D95" w:rsidP="00B95D95">
            <w:pPr>
              <w:jc w:val="center"/>
              <w:rPr>
                <w:sz w:val="18"/>
                <w:szCs w:val="18"/>
              </w:rPr>
            </w:pPr>
            <w:r>
              <w:rPr>
                <w:sz w:val="18"/>
                <w:szCs w:val="18"/>
              </w:rPr>
              <w:t>14</w:t>
            </w:r>
          </w:p>
        </w:tc>
        <w:tc>
          <w:tcPr>
            <w:tcW w:w="2161" w:type="dxa"/>
            <w:vAlign w:val="center"/>
          </w:tcPr>
          <w:p w14:paraId="6A487256" w14:textId="300653E0" w:rsidR="00B95D95" w:rsidRPr="0066616E" w:rsidRDefault="00B95D95" w:rsidP="00B95D95">
            <w:pPr>
              <w:jc w:val="center"/>
              <w:rPr>
                <w:sz w:val="18"/>
                <w:szCs w:val="18"/>
              </w:rPr>
            </w:pPr>
            <w:r>
              <w:rPr>
                <w:sz w:val="18"/>
                <w:szCs w:val="18"/>
              </w:rPr>
              <w:t>-1.040</w:t>
            </w:r>
          </w:p>
        </w:tc>
        <w:tc>
          <w:tcPr>
            <w:tcW w:w="2515" w:type="dxa"/>
            <w:vAlign w:val="center"/>
          </w:tcPr>
          <w:p w14:paraId="785731DE" w14:textId="7DCC7CEE" w:rsidR="00B95D95" w:rsidRPr="0066616E" w:rsidRDefault="00B95D95" w:rsidP="00B95D95">
            <w:pPr>
              <w:jc w:val="center"/>
              <w:rPr>
                <w:sz w:val="18"/>
                <w:szCs w:val="18"/>
              </w:rPr>
            </w:pPr>
            <w:r>
              <w:rPr>
                <w:sz w:val="18"/>
                <w:szCs w:val="18"/>
              </w:rPr>
              <w:t>-0.982</w:t>
            </w:r>
          </w:p>
        </w:tc>
      </w:tr>
      <w:tr w:rsidR="00B95D95" w14:paraId="0EEDAE48" w14:textId="77777777" w:rsidTr="000C2FB1">
        <w:trPr>
          <w:trHeight w:val="317"/>
        </w:trPr>
        <w:tc>
          <w:tcPr>
            <w:tcW w:w="2337" w:type="dxa"/>
            <w:vAlign w:val="center"/>
          </w:tcPr>
          <w:p w14:paraId="43634DC4" w14:textId="28E1BE62" w:rsidR="00B95D95" w:rsidRPr="0066616E" w:rsidRDefault="00B95D95" w:rsidP="00B95D95">
            <w:pPr>
              <w:jc w:val="right"/>
              <w:rPr>
                <w:sz w:val="18"/>
                <w:szCs w:val="18"/>
              </w:rPr>
            </w:pPr>
            <w:r w:rsidRPr="0066616E">
              <w:rPr>
                <w:sz w:val="18"/>
                <w:szCs w:val="18"/>
              </w:rPr>
              <w:t>5</w:t>
            </w:r>
            <w:r w:rsidRPr="0066616E">
              <w:rPr>
                <w:sz w:val="18"/>
                <w:szCs w:val="18"/>
                <w:vertAlign w:val="superscript"/>
              </w:rPr>
              <w:t>th</w:t>
            </w:r>
            <w:r w:rsidRPr="0066616E">
              <w:rPr>
                <w:sz w:val="18"/>
                <w:szCs w:val="18"/>
              </w:rPr>
              <w:t xml:space="preserve"> Grade Math</w:t>
            </w:r>
          </w:p>
        </w:tc>
        <w:tc>
          <w:tcPr>
            <w:tcW w:w="2337" w:type="dxa"/>
            <w:vAlign w:val="center"/>
          </w:tcPr>
          <w:p w14:paraId="53AB43F3" w14:textId="77517C42" w:rsidR="00B95D95" w:rsidRPr="0066616E" w:rsidRDefault="00B95D95" w:rsidP="00B95D95">
            <w:pPr>
              <w:jc w:val="center"/>
              <w:rPr>
                <w:sz w:val="18"/>
                <w:szCs w:val="18"/>
              </w:rPr>
            </w:pPr>
            <w:r>
              <w:rPr>
                <w:sz w:val="18"/>
                <w:szCs w:val="18"/>
              </w:rPr>
              <w:t>13</w:t>
            </w:r>
          </w:p>
        </w:tc>
        <w:tc>
          <w:tcPr>
            <w:tcW w:w="2161" w:type="dxa"/>
            <w:vAlign w:val="center"/>
          </w:tcPr>
          <w:p w14:paraId="6C5AA2C2" w14:textId="0C18D4D5" w:rsidR="00B95D95" w:rsidRPr="0066616E" w:rsidRDefault="00B95D95" w:rsidP="00B95D95">
            <w:pPr>
              <w:jc w:val="center"/>
              <w:rPr>
                <w:sz w:val="18"/>
                <w:szCs w:val="18"/>
              </w:rPr>
            </w:pPr>
            <w:r>
              <w:rPr>
                <w:sz w:val="18"/>
                <w:szCs w:val="18"/>
              </w:rPr>
              <w:t>-0.858</w:t>
            </w:r>
          </w:p>
        </w:tc>
        <w:tc>
          <w:tcPr>
            <w:tcW w:w="2515" w:type="dxa"/>
            <w:vAlign w:val="center"/>
          </w:tcPr>
          <w:p w14:paraId="6C22D260" w14:textId="2FA9B5BD" w:rsidR="00B95D95" w:rsidRPr="0066616E" w:rsidRDefault="00B95D95" w:rsidP="00B95D95">
            <w:pPr>
              <w:jc w:val="center"/>
              <w:rPr>
                <w:sz w:val="18"/>
                <w:szCs w:val="18"/>
              </w:rPr>
            </w:pPr>
            <w:r>
              <w:rPr>
                <w:sz w:val="18"/>
                <w:szCs w:val="18"/>
              </w:rPr>
              <w:t>-1.212</w:t>
            </w:r>
          </w:p>
        </w:tc>
      </w:tr>
      <w:tr w:rsidR="00B95D95" w14:paraId="59346B3F" w14:textId="77777777" w:rsidTr="000C2FB1">
        <w:trPr>
          <w:trHeight w:val="317"/>
        </w:trPr>
        <w:tc>
          <w:tcPr>
            <w:tcW w:w="9350" w:type="dxa"/>
            <w:gridSpan w:val="4"/>
            <w:vAlign w:val="center"/>
          </w:tcPr>
          <w:p w14:paraId="0105DE79" w14:textId="06A2A49F" w:rsidR="00B95D95" w:rsidRPr="0056185B" w:rsidRDefault="00B95D95" w:rsidP="00B95D95">
            <w:pPr>
              <w:jc w:val="center"/>
              <w:rPr>
                <w:i/>
                <w:sz w:val="20"/>
                <w:szCs w:val="20"/>
              </w:rPr>
            </w:pPr>
            <w:r>
              <w:rPr>
                <w:i/>
                <w:sz w:val="20"/>
                <w:szCs w:val="20"/>
              </w:rPr>
              <w:t>The Catamount School</w:t>
            </w:r>
          </w:p>
        </w:tc>
      </w:tr>
      <w:tr w:rsidR="00191968" w14:paraId="745D39FF" w14:textId="77777777" w:rsidTr="000C2FB1">
        <w:trPr>
          <w:trHeight w:val="317"/>
        </w:trPr>
        <w:tc>
          <w:tcPr>
            <w:tcW w:w="2337" w:type="dxa"/>
            <w:vAlign w:val="center"/>
          </w:tcPr>
          <w:p w14:paraId="4B033EEE" w14:textId="591008C8" w:rsidR="00191968" w:rsidRPr="0066616E" w:rsidRDefault="00191968" w:rsidP="00191968">
            <w:pPr>
              <w:jc w:val="right"/>
              <w:rPr>
                <w:sz w:val="18"/>
                <w:szCs w:val="18"/>
              </w:rPr>
            </w:pPr>
            <w:r>
              <w:rPr>
                <w:sz w:val="18"/>
                <w:szCs w:val="18"/>
              </w:rPr>
              <w:t>6</w:t>
            </w:r>
            <w:r w:rsidRPr="00E6637F">
              <w:rPr>
                <w:sz w:val="18"/>
                <w:szCs w:val="18"/>
                <w:vertAlign w:val="superscript"/>
              </w:rPr>
              <w:t>th</w:t>
            </w:r>
            <w:r>
              <w:rPr>
                <w:sz w:val="18"/>
                <w:szCs w:val="18"/>
              </w:rPr>
              <w:t xml:space="preserve"> Grade Reading</w:t>
            </w:r>
          </w:p>
        </w:tc>
        <w:tc>
          <w:tcPr>
            <w:tcW w:w="2337" w:type="dxa"/>
            <w:vAlign w:val="center"/>
          </w:tcPr>
          <w:p w14:paraId="56921D1B" w14:textId="572DD864" w:rsidR="00191968" w:rsidRPr="0066616E" w:rsidRDefault="00191968" w:rsidP="00191968">
            <w:pPr>
              <w:jc w:val="center"/>
              <w:rPr>
                <w:sz w:val="18"/>
                <w:szCs w:val="18"/>
              </w:rPr>
            </w:pPr>
            <w:r>
              <w:rPr>
                <w:sz w:val="18"/>
                <w:szCs w:val="18"/>
              </w:rPr>
              <w:t>8</w:t>
            </w:r>
          </w:p>
        </w:tc>
        <w:tc>
          <w:tcPr>
            <w:tcW w:w="2161" w:type="dxa"/>
            <w:vAlign w:val="center"/>
          </w:tcPr>
          <w:p w14:paraId="3E737D2F" w14:textId="14D35836" w:rsidR="00191968" w:rsidRPr="0066616E" w:rsidRDefault="00191968" w:rsidP="00191968">
            <w:pPr>
              <w:jc w:val="center"/>
              <w:rPr>
                <w:sz w:val="18"/>
                <w:szCs w:val="18"/>
              </w:rPr>
            </w:pPr>
            <w:r>
              <w:rPr>
                <w:sz w:val="18"/>
                <w:szCs w:val="18"/>
              </w:rPr>
              <w:t>0.068</w:t>
            </w:r>
          </w:p>
        </w:tc>
        <w:tc>
          <w:tcPr>
            <w:tcW w:w="2515" w:type="dxa"/>
            <w:vAlign w:val="center"/>
          </w:tcPr>
          <w:p w14:paraId="6F964EE2" w14:textId="0AEBC7F8" w:rsidR="00191968" w:rsidRPr="0066616E" w:rsidRDefault="00191968" w:rsidP="00191968">
            <w:pPr>
              <w:jc w:val="center"/>
              <w:rPr>
                <w:sz w:val="18"/>
                <w:szCs w:val="18"/>
              </w:rPr>
            </w:pPr>
            <w:r>
              <w:rPr>
                <w:sz w:val="18"/>
                <w:szCs w:val="18"/>
              </w:rPr>
              <w:t>-0.107</w:t>
            </w:r>
          </w:p>
        </w:tc>
      </w:tr>
      <w:tr w:rsidR="00191968" w14:paraId="6D5BADAD" w14:textId="77777777" w:rsidTr="000C2FB1">
        <w:trPr>
          <w:trHeight w:val="317"/>
        </w:trPr>
        <w:tc>
          <w:tcPr>
            <w:tcW w:w="2337" w:type="dxa"/>
            <w:vAlign w:val="center"/>
          </w:tcPr>
          <w:p w14:paraId="3786DC41" w14:textId="126318FD" w:rsidR="00191968" w:rsidRPr="0066616E" w:rsidRDefault="00191968" w:rsidP="00191968">
            <w:pPr>
              <w:jc w:val="right"/>
              <w:rPr>
                <w:sz w:val="18"/>
                <w:szCs w:val="18"/>
              </w:rPr>
            </w:pPr>
            <w:r>
              <w:rPr>
                <w:sz w:val="18"/>
                <w:szCs w:val="18"/>
              </w:rPr>
              <w:t>7</w:t>
            </w:r>
            <w:r w:rsidRPr="00E6637F">
              <w:rPr>
                <w:sz w:val="18"/>
                <w:szCs w:val="18"/>
                <w:vertAlign w:val="superscript"/>
              </w:rPr>
              <w:t>th</w:t>
            </w:r>
            <w:r>
              <w:rPr>
                <w:sz w:val="18"/>
                <w:szCs w:val="18"/>
              </w:rPr>
              <w:t xml:space="preserve"> Grade Reading</w:t>
            </w:r>
          </w:p>
        </w:tc>
        <w:tc>
          <w:tcPr>
            <w:tcW w:w="2337" w:type="dxa"/>
            <w:vAlign w:val="center"/>
          </w:tcPr>
          <w:p w14:paraId="4BBC83C0" w14:textId="7EC2559B" w:rsidR="00191968" w:rsidRPr="0066616E" w:rsidRDefault="00191968" w:rsidP="00191968">
            <w:pPr>
              <w:jc w:val="center"/>
              <w:rPr>
                <w:sz w:val="18"/>
                <w:szCs w:val="18"/>
              </w:rPr>
            </w:pPr>
            <w:r>
              <w:rPr>
                <w:sz w:val="18"/>
                <w:szCs w:val="18"/>
              </w:rPr>
              <w:t>19</w:t>
            </w:r>
          </w:p>
        </w:tc>
        <w:tc>
          <w:tcPr>
            <w:tcW w:w="2161" w:type="dxa"/>
            <w:vAlign w:val="center"/>
          </w:tcPr>
          <w:p w14:paraId="1A174A4C" w14:textId="005B2841" w:rsidR="00191968" w:rsidRPr="0066616E" w:rsidRDefault="00191968" w:rsidP="00191968">
            <w:pPr>
              <w:jc w:val="center"/>
              <w:rPr>
                <w:sz w:val="18"/>
                <w:szCs w:val="18"/>
              </w:rPr>
            </w:pPr>
            <w:r>
              <w:rPr>
                <w:sz w:val="18"/>
                <w:szCs w:val="18"/>
              </w:rPr>
              <w:t>-0.191</w:t>
            </w:r>
          </w:p>
        </w:tc>
        <w:tc>
          <w:tcPr>
            <w:tcW w:w="2515" w:type="dxa"/>
            <w:vAlign w:val="center"/>
          </w:tcPr>
          <w:p w14:paraId="0A8A0E85" w14:textId="4423EC5A" w:rsidR="00191968" w:rsidRPr="0066616E" w:rsidRDefault="00191968" w:rsidP="00191968">
            <w:pPr>
              <w:jc w:val="center"/>
              <w:rPr>
                <w:sz w:val="18"/>
                <w:szCs w:val="18"/>
              </w:rPr>
            </w:pPr>
            <w:r>
              <w:rPr>
                <w:sz w:val="18"/>
                <w:szCs w:val="18"/>
              </w:rPr>
              <w:t>-0.064</w:t>
            </w:r>
          </w:p>
        </w:tc>
      </w:tr>
      <w:tr w:rsidR="00191968" w14:paraId="30DDA1AA" w14:textId="77777777" w:rsidTr="000C2FB1">
        <w:trPr>
          <w:trHeight w:val="317"/>
        </w:trPr>
        <w:tc>
          <w:tcPr>
            <w:tcW w:w="2337" w:type="dxa"/>
            <w:vAlign w:val="center"/>
          </w:tcPr>
          <w:p w14:paraId="7122A9E0" w14:textId="312F0F04" w:rsidR="00191968" w:rsidRPr="0066616E" w:rsidRDefault="00191968" w:rsidP="00191968">
            <w:pPr>
              <w:jc w:val="right"/>
              <w:rPr>
                <w:sz w:val="18"/>
                <w:szCs w:val="18"/>
              </w:rPr>
            </w:pPr>
            <w:r>
              <w:rPr>
                <w:sz w:val="18"/>
                <w:szCs w:val="18"/>
              </w:rPr>
              <w:t>8</w:t>
            </w:r>
            <w:r w:rsidRPr="00E6637F">
              <w:rPr>
                <w:sz w:val="18"/>
                <w:szCs w:val="18"/>
                <w:vertAlign w:val="superscript"/>
              </w:rPr>
              <w:t>th</w:t>
            </w:r>
            <w:r>
              <w:rPr>
                <w:sz w:val="18"/>
                <w:szCs w:val="18"/>
              </w:rPr>
              <w:t xml:space="preserve"> Grade Reading</w:t>
            </w:r>
          </w:p>
        </w:tc>
        <w:tc>
          <w:tcPr>
            <w:tcW w:w="2337" w:type="dxa"/>
            <w:vAlign w:val="center"/>
          </w:tcPr>
          <w:p w14:paraId="59DBE318" w14:textId="755FD7E7" w:rsidR="00191968" w:rsidRPr="0066616E" w:rsidRDefault="00191968" w:rsidP="00191968">
            <w:pPr>
              <w:jc w:val="center"/>
              <w:rPr>
                <w:sz w:val="18"/>
                <w:szCs w:val="18"/>
              </w:rPr>
            </w:pPr>
            <w:r>
              <w:rPr>
                <w:sz w:val="18"/>
                <w:szCs w:val="18"/>
              </w:rPr>
              <w:t>23</w:t>
            </w:r>
          </w:p>
        </w:tc>
        <w:tc>
          <w:tcPr>
            <w:tcW w:w="2161" w:type="dxa"/>
            <w:vAlign w:val="center"/>
          </w:tcPr>
          <w:p w14:paraId="63A3FF23" w14:textId="78EAB5BF" w:rsidR="00191968" w:rsidRPr="0066616E" w:rsidRDefault="00191968" w:rsidP="00191968">
            <w:pPr>
              <w:jc w:val="center"/>
              <w:rPr>
                <w:sz w:val="18"/>
                <w:szCs w:val="18"/>
              </w:rPr>
            </w:pPr>
            <w:r>
              <w:rPr>
                <w:sz w:val="18"/>
                <w:szCs w:val="18"/>
              </w:rPr>
              <w:t>-0.098</w:t>
            </w:r>
          </w:p>
        </w:tc>
        <w:tc>
          <w:tcPr>
            <w:tcW w:w="2515" w:type="dxa"/>
            <w:vAlign w:val="center"/>
          </w:tcPr>
          <w:p w14:paraId="257FBF61" w14:textId="5F4B51E7" w:rsidR="00191968" w:rsidRPr="0066616E" w:rsidRDefault="00191968" w:rsidP="00191968">
            <w:pPr>
              <w:jc w:val="center"/>
              <w:rPr>
                <w:sz w:val="18"/>
                <w:szCs w:val="18"/>
              </w:rPr>
            </w:pPr>
            <w:r>
              <w:rPr>
                <w:sz w:val="18"/>
                <w:szCs w:val="18"/>
              </w:rPr>
              <w:t>0.111</w:t>
            </w:r>
          </w:p>
        </w:tc>
      </w:tr>
      <w:tr w:rsidR="00191968" w14:paraId="3B980111" w14:textId="77777777" w:rsidTr="000C2FB1">
        <w:trPr>
          <w:trHeight w:val="317"/>
        </w:trPr>
        <w:tc>
          <w:tcPr>
            <w:tcW w:w="2337" w:type="dxa"/>
            <w:vAlign w:val="center"/>
          </w:tcPr>
          <w:p w14:paraId="418FBDCA" w14:textId="3D027B52" w:rsidR="00191968" w:rsidRPr="0066616E" w:rsidRDefault="00191968" w:rsidP="00191968">
            <w:pPr>
              <w:jc w:val="right"/>
              <w:rPr>
                <w:sz w:val="18"/>
                <w:szCs w:val="18"/>
              </w:rPr>
            </w:pPr>
            <w:r>
              <w:rPr>
                <w:sz w:val="18"/>
                <w:szCs w:val="18"/>
              </w:rPr>
              <w:t>6</w:t>
            </w:r>
            <w:r w:rsidRPr="00AD0F34">
              <w:rPr>
                <w:sz w:val="18"/>
                <w:szCs w:val="18"/>
                <w:vertAlign w:val="superscript"/>
              </w:rPr>
              <w:t>th</w:t>
            </w:r>
            <w:r>
              <w:rPr>
                <w:sz w:val="18"/>
                <w:szCs w:val="18"/>
              </w:rPr>
              <w:t xml:space="preserve"> Grade Math</w:t>
            </w:r>
          </w:p>
        </w:tc>
        <w:tc>
          <w:tcPr>
            <w:tcW w:w="2337" w:type="dxa"/>
            <w:vAlign w:val="center"/>
          </w:tcPr>
          <w:p w14:paraId="4270CFB7" w14:textId="2341BE79" w:rsidR="00191968" w:rsidRPr="0066616E" w:rsidRDefault="00191968" w:rsidP="00191968">
            <w:pPr>
              <w:jc w:val="center"/>
              <w:rPr>
                <w:sz w:val="18"/>
                <w:szCs w:val="18"/>
              </w:rPr>
            </w:pPr>
            <w:r>
              <w:rPr>
                <w:sz w:val="18"/>
                <w:szCs w:val="18"/>
              </w:rPr>
              <w:t>8</w:t>
            </w:r>
          </w:p>
        </w:tc>
        <w:tc>
          <w:tcPr>
            <w:tcW w:w="2161" w:type="dxa"/>
            <w:vAlign w:val="center"/>
          </w:tcPr>
          <w:p w14:paraId="7CDD7771" w14:textId="2C34FEF3" w:rsidR="00191968" w:rsidRPr="0066616E" w:rsidRDefault="00191968" w:rsidP="00191968">
            <w:pPr>
              <w:jc w:val="center"/>
              <w:rPr>
                <w:sz w:val="18"/>
                <w:szCs w:val="18"/>
              </w:rPr>
            </w:pPr>
            <w:r>
              <w:rPr>
                <w:sz w:val="18"/>
                <w:szCs w:val="18"/>
              </w:rPr>
              <w:t>-0.518</w:t>
            </w:r>
          </w:p>
        </w:tc>
        <w:tc>
          <w:tcPr>
            <w:tcW w:w="2515" w:type="dxa"/>
            <w:vAlign w:val="center"/>
          </w:tcPr>
          <w:p w14:paraId="573C33B1" w14:textId="082585B3" w:rsidR="00191968" w:rsidRPr="0066616E" w:rsidRDefault="00191968" w:rsidP="00191968">
            <w:pPr>
              <w:jc w:val="center"/>
              <w:rPr>
                <w:sz w:val="18"/>
                <w:szCs w:val="18"/>
              </w:rPr>
            </w:pPr>
            <w:r>
              <w:rPr>
                <w:sz w:val="18"/>
                <w:szCs w:val="18"/>
              </w:rPr>
              <w:t>0.047</w:t>
            </w:r>
          </w:p>
        </w:tc>
      </w:tr>
      <w:tr w:rsidR="00191968" w14:paraId="52177F06" w14:textId="77777777" w:rsidTr="000C2FB1">
        <w:trPr>
          <w:trHeight w:val="317"/>
        </w:trPr>
        <w:tc>
          <w:tcPr>
            <w:tcW w:w="2337" w:type="dxa"/>
            <w:vAlign w:val="center"/>
          </w:tcPr>
          <w:p w14:paraId="070AE282" w14:textId="2286DA34" w:rsidR="00191968" w:rsidRPr="0066616E" w:rsidRDefault="00191968" w:rsidP="00191968">
            <w:pPr>
              <w:jc w:val="right"/>
              <w:rPr>
                <w:sz w:val="18"/>
                <w:szCs w:val="18"/>
              </w:rPr>
            </w:pPr>
            <w:r>
              <w:rPr>
                <w:sz w:val="18"/>
                <w:szCs w:val="18"/>
              </w:rPr>
              <w:t>7</w:t>
            </w:r>
            <w:r w:rsidRPr="00AD0F34">
              <w:rPr>
                <w:sz w:val="18"/>
                <w:szCs w:val="18"/>
                <w:vertAlign w:val="superscript"/>
              </w:rPr>
              <w:t>th</w:t>
            </w:r>
            <w:r>
              <w:rPr>
                <w:sz w:val="18"/>
                <w:szCs w:val="18"/>
              </w:rPr>
              <w:t xml:space="preserve"> Grade Math</w:t>
            </w:r>
          </w:p>
        </w:tc>
        <w:tc>
          <w:tcPr>
            <w:tcW w:w="2337" w:type="dxa"/>
            <w:vAlign w:val="center"/>
          </w:tcPr>
          <w:p w14:paraId="47A04BA0" w14:textId="2A6DBCE2" w:rsidR="00191968" w:rsidRPr="0066616E" w:rsidRDefault="00191968" w:rsidP="00191968">
            <w:pPr>
              <w:jc w:val="center"/>
              <w:rPr>
                <w:sz w:val="18"/>
                <w:szCs w:val="18"/>
              </w:rPr>
            </w:pPr>
            <w:r>
              <w:rPr>
                <w:sz w:val="18"/>
                <w:szCs w:val="18"/>
              </w:rPr>
              <w:t>19</w:t>
            </w:r>
          </w:p>
        </w:tc>
        <w:tc>
          <w:tcPr>
            <w:tcW w:w="2161" w:type="dxa"/>
            <w:vAlign w:val="center"/>
          </w:tcPr>
          <w:p w14:paraId="6B820E04" w14:textId="4EF3E239" w:rsidR="00191968" w:rsidRPr="0066616E" w:rsidRDefault="00191968" w:rsidP="00191968">
            <w:pPr>
              <w:jc w:val="center"/>
              <w:rPr>
                <w:sz w:val="18"/>
                <w:szCs w:val="18"/>
              </w:rPr>
            </w:pPr>
            <w:r>
              <w:rPr>
                <w:sz w:val="18"/>
                <w:szCs w:val="18"/>
              </w:rPr>
              <w:t>-0.634</w:t>
            </w:r>
          </w:p>
        </w:tc>
        <w:tc>
          <w:tcPr>
            <w:tcW w:w="2515" w:type="dxa"/>
            <w:vAlign w:val="center"/>
          </w:tcPr>
          <w:p w14:paraId="7760A7EF" w14:textId="7D3A806A" w:rsidR="00191968" w:rsidRPr="0066616E" w:rsidRDefault="00191968" w:rsidP="00191968">
            <w:pPr>
              <w:jc w:val="center"/>
              <w:rPr>
                <w:sz w:val="18"/>
                <w:szCs w:val="18"/>
              </w:rPr>
            </w:pPr>
            <w:r>
              <w:rPr>
                <w:sz w:val="18"/>
                <w:szCs w:val="18"/>
              </w:rPr>
              <w:t>-0.382</w:t>
            </w:r>
          </w:p>
        </w:tc>
      </w:tr>
      <w:tr w:rsidR="00191968" w14:paraId="507BE4E8" w14:textId="77777777" w:rsidTr="000C2FB1">
        <w:trPr>
          <w:trHeight w:val="317"/>
        </w:trPr>
        <w:tc>
          <w:tcPr>
            <w:tcW w:w="2337" w:type="dxa"/>
            <w:vAlign w:val="center"/>
          </w:tcPr>
          <w:p w14:paraId="068C371E" w14:textId="485D6F4C" w:rsidR="00191968" w:rsidRPr="0066616E" w:rsidRDefault="00191968" w:rsidP="00191968">
            <w:pPr>
              <w:jc w:val="right"/>
              <w:rPr>
                <w:sz w:val="18"/>
                <w:szCs w:val="18"/>
              </w:rPr>
            </w:pPr>
            <w:r>
              <w:rPr>
                <w:sz w:val="18"/>
                <w:szCs w:val="18"/>
              </w:rPr>
              <w:t>8</w:t>
            </w:r>
            <w:r w:rsidRPr="00AD0F34">
              <w:rPr>
                <w:sz w:val="18"/>
                <w:szCs w:val="18"/>
                <w:vertAlign w:val="superscript"/>
              </w:rPr>
              <w:t>th</w:t>
            </w:r>
            <w:r>
              <w:rPr>
                <w:sz w:val="18"/>
                <w:szCs w:val="18"/>
              </w:rPr>
              <w:t xml:space="preserve"> Grade Math</w:t>
            </w:r>
          </w:p>
        </w:tc>
        <w:tc>
          <w:tcPr>
            <w:tcW w:w="2337" w:type="dxa"/>
            <w:vAlign w:val="center"/>
          </w:tcPr>
          <w:p w14:paraId="4C2B1E03" w14:textId="43839C23" w:rsidR="00191968" w:rsidRPr="0066616E" w:rsidRDefault="00191968" w:rsidP="00191968">
            <w:pPr>
              <w:jc w:val="center"/>
              <w:rPr>
                <w:sz w:val="18"/>
                <w:szCs w:val="18"/>
              </w:rPr>
            </w:pPr>
            <w:r>
              <w:rPr>
                <w:sz w:val="18"/>
                <w:szCs w:val="18"/>
              </w:rPr>
              <w:t>15</w:t>
            </w:r>
          </w:p>
        </w:tc>
        <w:tc>
          <w:tcPr>
            <w:tcW w:w="2161" w:type="dxa"/>
            <w:vAlign w:val="center"/>
          </w:tcPr>
          <w:p w14:paraId="2D2B480F" w14:textId="2B09C947" w:rsidR="00191968" w:rsidRPr="0066616E" w:rsidRDefault="00191968" w:rsidP="00191968">
            <w:pPr>
              <w:jc w:val="center"/>
              <w:rPr>
                <w:sz w:val="18"/>
                <w:szCs w:val="18"/>
              </w:rPr>
            </w:pPr>
            <w:r>
              <w:rPr>
                <w:sz w:val="18"/>
                <w:szCs w:val="18"/>
              </w:rPr>
              <w:t>-0.799</w:t>
            </w:r>
          </w:p>
        </w:tc>
        <w:tc>
          <w:tcPr>
            <w:tcW w:w="2515" w:type="dxa"/>
            <w:vAlign w:val="center"/>
          </w:tcPr>
          <w:p w14:paraId="707841A9" w14:textId="317B651D" w:rsidR="00191968" w:rsidRPr="0066616E" w:rsidRDefault="00191968" w:rsidP="00191968">
            <w:pPr>
              <w:jc w:val="center"/>
              <w:rPr>
                <w:sz w:val="18"/>
                <w:szCs w:val="18"/>
              </w:rPr>
            </w:pPr>
            <w:r>
              <w:rPr>
                <w:sz w:val="18"/>
                <w:szCs w:val="18"/>
              </w:rPr>
              <w:t>-0.686</w:t>
            </w:r>
          </w:p>
        </w:tc>
      </w:tr>
      <w:tr w:rsidR="00191968" w14:paraId="2A3FD2E4" w14:textId="77777777" w:rsidTr="000C2FB1">
        <w:trPr>
          <w:trHeight w:val="317"/>
        </w:trPr>
        <w:tc>
          <w:tcPr>
            <w:tcW w:w="2337" w:type="dxa"/>
            <w:vAlign w:val="center"/>
          </w:tcPr>
          <w:p w14:paraId="2E18209D" w14:textId="65E2C57A" w:rsidR="00191968" w:rsidRPr="0066616E" w:rsidRDefault="00191968" w:rsidP="00191968">
            <w:pPr>
              <w:jc w:val="right"/>
              <w:rPr>
                <w:sz w:val="18"/>
                <w:szCs w:val="18"/>
              </w:rPr>
            </w:pPr>
            <w:r>
              <w:rPr>
                <w:sz w:val="18"/>
                <w:szCs w:val="18"/>
              </w:rPr>
              <w:t>Math I</w:t>
            </w:r>
          </w:p>
        </w:tc>
        <w:tc>
          <w:tcPr>
            <w:tcW w:w="2337" w:type="dxa"/>
            <w:vAlign w:val="center"/>
          </w:tcPr>
          <w:p w14:paraId="6EA801FF" w14:textId="47BEBF26" w:rsidR="00191968" w:rsidRPr="0066616E" w:rsidRDefault="00191968" w:rsidP="00191968">
            <w:pPr>
              <w:jc w:val="center"/>
              <w:rPr>
                <w:sz w:val="18"/>
                <w:szCs w:val="18"/>
              </w:rPr>
            </w:pPr>
            <w:r>
              <w:rPr>
                <w:sz w:val="18"/>
                <w:szCs w:val="18"/>
              </w:rPr>
              <w:t>8</w:t>
            </w:r>
          </w:p>
        </w:tc>
        <w:tc>
          <w:tcPr>
            <w:tcW w:w="2161" w:type="dxa"/>
            <w:vAlign w:val="center"/>
          </w:tcPr>
          <w:p w14:paraId="3E61811B" w14:textId="7BB7E8DF" w:rsidR="00191968" w:rsidRPr="0066616E" w:rsidRDefault="00191968" w:rsidP="00191968">
            <w:pPr>
              <w:jc w:val="center"/>
              <w:rPr>
                <w:sz w:val="18"/>
                <w:szCs w:val="18"/>
              </w:rPr>
            </w:pPr>
            <w:r>
              <w:rPr>
                <w:sz w:val="18"/>
                <w:szCs w:val="18"/>
              </w:rPr>
              <w:t>0.343</w:t>
            </w:r>
          </w:p>
        </w:tc>
        <w:tc>
          <w:tcPr>
            <w:tcW w:w="2515" w:type="dxa"/>
            <w:vAlign w:val="center"/>
          </w:tcPr>
          <w:p w14:paraId="3DA2D12F" w14:textId="596DAB92" w:rsidR="00191968" w:rsidRPr="0066616E" w:rsidRDefault="00191968" w:rsidP="00191968">
            <w:pPr>
              <w:jc w:val="center"/>
              <w:rPr>
                <w:sz w:val="18"/>
                <w:szCs w:val="18"/>
              </w:rPr>
            </w:pPr>
            <w:r>
              <w:rPr>
                <w:sz w:val="18"/>
                <w:szCs w:val="18"/>
              </w:rPr>
              <w:t>0.457</w:t>
            </w:r>
          </w:p>
        </w:tc>
      </w:tr>
    </w:tbl>
    <w:p w14:paraId="01CCBA32" w14:textId="066E30D0" w:rsidR="003F129D" w:rsidRDefault="003F129D" w:rsidP="003F129D">
      <w:pPr>
        <w:spacing w:after="0" w:line="240" w:lineRule="auto"/>
        <w:jc w:val="both"/>
      </w:pPr>
      <w:r>
        <w:rPr>
          <w:sz w:val="16"/>
        </w:rPr>
        <w:t>Note: For the ECU Community School and The Catamount School, this table presents students’ EOG test scores (standardized) in 2018-19 and their prior scores (standardized) from the same subject-area (reading or math) in the 2017-18 school year. Not all laboratory school students have test scores in both periods.</w:t>
      </w:r>
    </w:p>
    <w:p w14:paraId="507269D1" w14:textId="77777777" w:rsidR="004A191B" w:rsidRDefault="004A191B" w:rsidP="004A191B">
      <w:pPr>
        <w:spacing w:after="0" w:line="240" w:lineRule="auto"/>
        <w:rPr>
          <w:i/>
        </w:rPr>
      </w:pPr>
    </w:p>
    <w:p w14:paraId="5052679E" w14:textId="77777777" w:rsidR="004A191B" w:rsidRDefault="004A191B" w:rsidP="004A191B">
      <w:pPr>
        <w:spacing w:after="0" w:line="240" w:lineRule="auto"/>
        <w:rPr>
          <w:i/>
        </w:rPr>
      </w:pPr>
    </w:p>
    <w:p w14:paraId="045DF96F" w14:textId="77777777" w:rsidR="004A191B" w:rsidRDefault="004A191B" w:rsidP="004A191B">
      <w:pPr>
        <w:spacing w:after="0" w:line="240" w:lineRule="auto"/>
        <w:rPr>
          <w:i/>
        </w:rPr>
      </w:pPr>
    </w:p>
    <w:p w14:paraId="2436D36B" w14:textId="77777777" w:rsidR="004A191B" w:rsidRDefault="004A191B" w:rsidP="004A191B">
      <w:pPr>
        <w:spacing w:after="0" w:line="240" w:lineRule="auto"/>
        <w:rPr>
          <w:i/>
        </w:rPr>
      </w:pPr>
    </w:p>
    <w:p w14:paraId="66597D45" w14:textId="77777777" w:rsidR="004A191B" w:rsidRDefault="004A191B" w:rsidP="004A191B">
      <w:pPr>
        <w:spacing w:after="0" w:line="240" w:lineRule="auto"/>
        <w:rPr>
          <w:i/>
        </w:rPr>
      </w:pPr>
    </w:p>
    <w:p w14:paraId="1227B243" w14:textId="77777777" w:rsidR="004A191B" w:rsidRDefault="004A191B" w:rsidP="004A191B">
      <w:pPr>
        <w:spacing w:after="0" w:line="240" w:lineRule="auto"/>
        <w:rPr>
          <w:i/>
        </w:rPr>
      </w:pPr>
    </w:p>
    <w:p w14:paraId="17EE60ED" w14:textId="77777777" w:rsidR="004A191B" w:rsidRDefault="004A191B" w:rsidP="004A191B">
      <w:pPr>
        <w:spacing w:after="0" w:line="240" w:lineRule="auto"/>
        <w:rPr>
          <w:i/>
        </w:rPr>
      </w:pPr>
    </w:p>
    <w:p w14:paraId="2F091A7F" w14:textId="77777777" w:rsidR="004A191B" w:rsidRDefault="004A191B" w:rsidP="004A191B">
      <w:pPr>
        <w:spacing w:after="0" w:line="240" w:lineRule="auto"/>
        <w:rPr>
          <w:i/>
        </w:rPr>
      </w:pPr>
    </w:p>
    <w:p w14:paraId="6FC72142" w14:textId="77777777" w:rsidR="004A191B" w:rsidRDefault="004A191B" w:rsidP="004A191B">
      <w:pPr>
        <w:spacing w:after="0" w:line="240" w:lineRule="auto"/>
        <w:rPr>
          <w:i/>
        </w:rPr>
      </w:pPr>
    </w:p>
    <w:p w14:paraId="4553DD6F" w14:textId="77777777" w:rsidR="004A191B" w:rsidRDefault="004A191B" w:rsidP="004A191B">
      <w:pPr>
        <w:spacing w:after="0" w:line="240" w:lineRule="auto"/>
        <w:rPr>
          <w:i/>
        </w:rPr>
      </w:pPr>
    </w:p>
    <w:p w14:paraId="3D62B9ED" w14:textId="77777777" w:rsidR="004A191B" w:rsidRDefault="004A191B" w:rsidP="004A191B">
      <w:pPr>
        <w:spacing w:after="0" w:line="240" w:lineRule="auto"/>
        <w:rPr>
          <w:i/>
        </w:rPr>
      </w:pPr>
    </w:p>
    <w:p w14:paraId="0F838155" w14:textId="77777777" w:rsidR="004A191B" w:rsidRDefault="004A191B" w:rsidP="004A191B">
      <w:pPr>
        <w:spacing w:after="0" w:line="240" w:lineRule="auto"/>
        <w:rPr>
          <w:i/>
        </w:rPr>
      </w:pPr>
    </w:p>
    <w:p w14:paraId="43055140" w14:textId="77777777" w:rsidR="004A191B" w:rsidRDefault="004A191B" w:rsidP="004A191B">
      <w:pPr>
        <w:spacing w:after="0" w:line="240" w:lineRule="auto"/>
        <w:rPr>
          <w:i/>
        </w:rPr>
      </w:pPr>
    </w:p>
    <w:p w14:paraId="3E0AE702" w14:textId="77777777" w:rsidR="004A191B" w:rsidRDefault="004A191B" w:rsidP="004A191B">
      <w:pPr>
        <w:spacing w:after="0" w:line="240" w:lineRule="auto"/>
        <w:rPr>
          <w:i/>
        </w:rPr>
      </w:pPr>
    </w:p>
    <w:p w14:paraId="434CFAA3" w14:textId="77777777" w:rsidR="004A191B" w:rsidRDefault="004A191B" w:rsidP="004A191B">
      <w:pPr>
        <w:spacing w:after="0" w:line="240" w:lineRule="auto"/>
        <w:rPr>
          <w:i/>
        </w:rPr>
      </w:pPr>
    </w:p>
    <w:p w14:paraId="7B3820EB" w14:textId="77777777" w:rsidR="004A191B" w:rsidRDefault="004A191B" w:rsidP="004A191B">
      <w:pPr>
        <w:spacing w:after="0" w:line="240" w:lineRule="auto"/>
        <w:rPr>
          <w:i/>
        </w:rPr>
      </w:pPr>
    </w:p>
    <w:p w14:paraId="3353D22E" w14:textId="77777777" w:rsidR="004A191B" w:rsidRDefault="004A191B" w:rsidP="004A191B">
      <w:pPr>
        <w:spacing w:after="0" w:line="240" w:lineRule="auto"/>
        <w:rPr>
          <w:i/>
        </w:rPr>
      </w:pPr>
    </w:p>
    <w:p w14:paraId="31B2FD76" w14:textId="77777777" w:rsidR="004A191B" w:rsidRDefault="004A191B" w:rsidP="004A191B">
      <w:pPr>
        <w:spacing w:after="0" w:line="240" w:lineRule="auto"/>
        <w:rPr>
          <w:i/>
        </w:rPr>
      </w:pPr>
    </w:p>
    <w:p w14:paraId="3AB26E09" w14:textId="77777777" w:rsidR="004A191B" w:rsidRDefault="004A191B" w:rsidP="004A191B">
      <w:pPr>
        <w:spacing w:after="0" w:line="240" w:lineRule="auto"/>
        <w:rPr>
          <w:i/>
        </w:rPr>
      </w:pPr>
    </w:p>
    <w:p w14:paraId="6A3424C3" w14:textId="77777777" w:rsidR="004A191B" w:rsidRDefault="004A191B" w:rsidP="004A191B">
      <w:pPr>
        <w:spacing w:after="0" w:line="240" w:lineRule="auto"/>
        <w:rPr>
          <w:i/>
        </w:rPr>
      </w:pPr>
    </w:p>
    <w:p w14:paraId="6D733058" w14:textId="77777777" w:rsidR="004A191B" w:rsidRDefault="004A191B" w:rsidP="004A191B">
      <w:pPr>
        <w:spacing w:after="0" w:line="240" w:lineRule="auto"/>
        <w:rPr>
          <w:i/>
        </w:rPr>
      </w:pPr>
    </w:p>
    <w:p w14:paraId="77128232" w14:textId="77777777" w:rsidR="004A191B" w:rsidRDefault="004A191B" w:rsidP="004A191B">
      <w:pPr>
        <w:spacing w:after="0" w:line="240" w:lineRule="auto"/>
        <w:rPr>
          <w:i/>
        </w:rPr>
      </w:pPr>
    </w:p>
    <w:p w14:paraId="1C19BD77" w14:textId="77777777" w:rsidR="004A191B" w:rsidRDefault="004A191B" w:rsidP="004A191B">
      <w:pPr>
        <w:spacing w:after="0" w:line="240" w:lineRule="auto"/>
        <w:rPr>
          <w:i/>
        </w:rPr>
      </w:pPr>
    </w:p>
    <w:p w14:paraId="2286371A" w14:textId="77777777" w:rsidR="004A191B" w:rsidRDefault="004A191B" w:rsidP="004A191B">
      <w:pPr>
        <w:spacing w:after="0" w:line="240" w:lineRule="auto"/>
        <w:rPr>
          <w:i/>
        </w:rPr>
      </w:pPr>
    </w:p>
    <w:p w14:paraId="5711D5CB" w14:textId="417254C1" w:rsidR="004A191B" w:rsidRDefault="004A191B" w:rsidP="004A191B">
      <w:pPr>
        <w:spacing w:after="0" w:line="240" w:lineRule="auto"/>
        <w:rPr>
          <w:i/>
        </w:rPr>
      </w:pPr>
      <w:r>
        <w:rPr>
          <w:i/>
        </w:rPr>
        <w:lastRenderedPageBreak/>
        <w:t>Appendix Table A5.</w:t>
      </w:r>
      <w:r w:rsidR="006250DA">
        <w:rPr>
          <w:i/>
        </w:rPr>
        <w:t>8</w:t>
      </w:r>
      <w:r>
        <w:rPr>
          <w:i/>
        </w:rPr>
        <w:t>:  Characteristics of Laboratory School and Matched Comparison Sample Students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26"/>
        <w:gridCol w:w="862"/>
        <w:gridCol w:w="904"/>
        <w:gridCol w:w="680"/>
        <w:gridCol w:w="818"/>
        <w:gridCol w:w="1170"/>
        <w:gridCol w:w="1260"/>
        <w:gridCol w:w="1170"/>
        <w:gridCol w:w="1170"/>
      </w:tblGrid>
      <w:tr w:rsidR="006250DA" w14:paraId="1607C2AB" w14:textId="77777777" w:rsidTr="006250DA">
        <w:tc>
          <w:tcPr>
            <w:tcW w:w="1326" w:type="dxa"/>
            <w:shd w:val="clear" w:color="auto" w:fill="F2F2F2" w:themeFill="background1" w:themeFillShade="F2"/>
            <w:vAlign w:val="center"/>
          </w:tcPr>
          <w:p w14:paraId="6243B7AB" w14:textId="77777777" w:rsidR="006250DA" w:rsidRPr="00DC1D9D" w:rsidRDefault="006250DA" w:rsidP="00D848BE">
            <w:pPr>
              <w:jc w:val="center"/>
              <w:rPr>
                <w:rFonts w:cstheme="minorHAnsi"/>
                <w:sz w:val="18"/>
                <w:szCs w:val="24"/>
              </w:rPr>
            </w:pPr>
            <w:r>
              <w:rPr>
                <w:rFonts w:cstheme="minorHAnsi"/>
                <w:sz w:val="18"/>
                <w:szCs w:val="24"/>
              </w:rPr>
              <w:t>Groups</w:t>
            </w:r>
          </w:p>
        </w:tc>
        <w:tc>
          <w:tcPr>
            <w:tcW w:w="862" w:type="dxa"/>
            <w:shd w:val="clear" w:color="auto" w:fill="F2F2F2" w:themeFill="background1" w:themeFillShade="F2"/>
            <w:vAlign w:val="center"/>
          </w:tcPr>
          <w:p w14:paraId="5AE9FCAD" w14:textId="77777777" w:rsidR="006250DA" w:rsidRPr="00DC1D9D" w:rsidRDefault="006250DA" w:rsidP="00D848BE">
            <w:pPr>
              <w:jc w:val="center"/>
              <w:rPr>
                <w:rFonts w:cstheme="minorHAnsi"/>
                <w:sz w:val="18"/>
                <w:szCs w:val="24"/>
              </w:rPr>
            </w:pPr>
            <w:r>
              <w:rPr>
                <w:rFonts w:cstheme="minorHAnsi"/>
                <w:sz w:val="18"/>
                <w:szCs w:val="24"/>
              </w:rPr>
              <w:t>Student Count</w:t>
            </w:r>
          </w:p>
        </w:tc>
        <w:tc>
          <w:tcPr>
            <w:tcW w:w="904" w:type="dxa"/>
            <w:shd w:val="clear" w:color="auto" w:fill="F2F2F2" w:themeFill="background1" w:themeFillShade="F2"/>
            <w:vAlign w:val="center"/>
          </w:tcPr>
          <w:p w14:paraId="5D8F65B8" w14:textId="77777777" w:rsidR="006250DA" w:rsidRPr="00DC1D9D" w:rsidRDefault="006250DA" w:rsidP="00D848BE">
            <w:pPr>
              <w:jc w:val="center"/>
              <w:rPr>
                <w:rFonts w:cstheme="minorHAnsi"/>
                <w:sz w:val="18"/>
                <w:szCs w:val="24"/>
              </w:rPr>
            </w:pPr>
            <w:r>
              <w:rPr>
                <w:rFonts w:cstheme="minorHAnsi"/>
                <w:sz w:val="18"/>
                <w:szCs w:val="24"/>
              </w:rPr>
              <w:t xml:space="preserve">Minority </w:t>
            </w:r>
          </w:p>
        </w:tc>
        <w:tc>
          <w:tcPr>
            <w:tcW w:w="680" w:type="dxa"/>
            <w:shd w:val="clear" w:color="auto" w:fill="F2F2F2" w:themeFill="background1" w:themeFillShade="F2"/>
            <w:vAlign w:val="center"/>
          </w:tcPr>
          <w:p w14:paraId="613E1AC2" w14:textId="15A3E443" w:rsidR="006250DA" w:rsidRPr="00DC1D9D" w:rsidRDefault="006250DA" w:rsidP="00D848BE">
            <w:pPr>
              <w:jc w:val="center"/>
              <w:rPr>
                <w:rFonts w:cstheme="minorHAnsi"/>
                <w:sz w:val="18"/>
                <w:szCs w:val="24"/>
              </w:rPr>
            </w:pPr>
            <w:r>
              <w:rPr>
                <w:rFonts w:cstheme="minorHAnsi"/>
                <w:sz w:val="18"/>
                <w:szCs w:val="24"/>
              </w:rPr>
              <w:t>EDS</w:t>
            </w:r>
          </w:p>
        </w:tc>
        <w:tc>
          <w:tcPr>
            <w:tcW w:w="818" w:type="dxa"/>
            <w:shd w:val="clear" w:color="auto" w:fill="F2F2F2" w:themeFill="background1" w:themeFillShade="F2"/>
            <w:vAlign w:val="center"/>
          </w:tcPr>
          <w:p w14:paraId="58676CBC" w14:textId="30A1D2F9" w:rsidR="006250DA" w:rsidRDefault="006250DA" w:rsidP="006250DA">
            <w:pPr>
              <w:jc w:val="center"/>
              <w:rPr>
                <w:rFonts w:cstheme="minorHAnsi"/>
                <w:sz w:val="18"/>
                <w:szCs w:val="24"/>
              </w:rPr>
            </w:pPr>
            <w:r>
              <w:rPr>
                <w:rFonts w:cstheme="minorHAnsi"/>
                <w:sz w:val="18"/>
                <w:szCs w:val="24"/>
              </w:rPr>
              <w:t>SPED</w:t>
            </w:r>
          </w:p>
        </w:tc>
        <w:tc>
          <w:tcPr>
            <w:tcW w:w="1170" w:type="dxa"/>
            <w:shd w:val="clear" w:color="auto" w:fill="F2F2F2" w:themeFill="background1" w:themeFillShade="F2"/>
            <w:vAlign w:val="center"/>
          </w:tcPr>
          <w:p w14:paraId="2695794B" w14:textId="6196271D" w:rsidR="006250DA" w:rsidRPr="00DC1D9D" w:rsidRDefault="006250DA" w:rsidP="00D848BE">
            <w:pPr>
              <w:jc w:val="center"/>
              <w:rPr>
                <w:rFonts w:cstheme="minorHAnsi"/>
                <w:sz w:val="18"/>
                <w:szCs w:val="24"/>
              </w:rPr>
            </w:pPr>
            <w:r>
              <w:rPr>
                <w:rFonts w:cstheme="minorHAnsi"/>
                <w:sz w:val="18"/>
                <w:szCs w:val="24"/>
              </w:rPr>
              <w:t>Prior Years Days Absent</w:t>
            </w:r>
          </w:p>
        </w:tc>
        <w:tc>
          <w:tcPr>
            <w:tcW w:w="1260" w:type="dxa"/>
            <w:shd w:val="clear" w:color="auto" w:fill="F2F2F2" w:themeFill="background1" w:themeFillShade="F2"/>
            <w:vAlign w:val="center"/>
          </w:tcPr>
          <w:p w14:paraId="4F5AEC8A" w14:textId="77777777" w:rsidR="006250DA" w:rsidRPr="00DC1D9D" w:rsidRDefault="006250DA" w:rsidP="00D848BE">
            <w:pPr>
              <w:jc w:val="center"/>
              <w:rPr>
                <w:rFonts w:cstheme="minorHAnsi"/>
                <w:sz w:val="18"/>
                <w:szCs w:val="24"/>
              </w:rPr>
            </w:pPr>
            <w:r>
              <w:rPr>
                <w:rFonts w:cstheme="minorHAnsi"/>
                <w:sz w:val="18"/>
                <w:szCs w:val="24"/>
              </w:rPr>
              <w:t>Suspended in the Prior Year</w:t>
            </w:r>
          </w:p>
        </w:tc>
        <w:tc>
          <w:tcPr>
            <w:tcW w:w="1170" w:type="dxa"/>
            <w:shd w:val="clear" w:color="auto" w:fill="F2F2F2" w:themeFill="background1" w:themeFillShade="F2"/>
            <w:vAlign w:val="center"/>
          </w:tcPr>
          <w:p w14:paraId="6E31501C" w14:textId="77777777" w:rsidR="006250DA" w:rsidRPr="00DC1D9D" w:rsidRDefault="006250DA" w:rsidP="00D848BE">
            <w:pPr>
              <w:jc w:val="center"/>
              <w:rPr>
                <w:rFonts w:cstheme="minorHAnsi"/>
                <w:sz w:val="18"/>
                <w:szCs w:val="24"/>
              </w:rPr>
            </w:pPr>
            <w:r>
              <w:rPr>
                <w:rFonts w:cstheme="minorHAnsi"/>
                <w:sz w:val="18"/>
                <w:szCs w:val="24"/>
              </w:rPr>
              <w:t>Prior Year Reading Score (Std)</w:t>
            </w:r>
          </w:p>
        </w:tc>
        <w:tc>
          <w:tcPr>
            <w:tcW w:w="1170" w:type="dxa"/>
            <w:shd w:val="clear" w:color="auto" w:fill="F2F2F2" w:themeFill="background1" w:themeFillShade="F2"/>
            <w:vAlign w:val="center"/>
          </w:tcPr>
          <w:p w14:paraId="74DB242D" w14:textId="77777777" w:rsidR="006250DA" w:rsidRPr="00DC1D9D" w:rsidRDefault="006250DA" w:rsidP="00D848BE">
            <w:pPr>
              <w:jc w:val="center"/>
              <w:rPr>
                <w:rFonts w:cstheme="minorHAnsi"/>
                <w:sz w:val="18"/>
                <w:szCs w:val="24"/>
              </w:rPr>
            </w:pPr>
            <w:r>
              <w:rPr>
                <w:rFonts w:cstheme="minorHAnsi"/>
                <w:sz w:val="18"/>
                <w:szCs w:val="24"/>
              </w:rPr>
              <w:t>Prior Year Math Score (Std)</w:t>
            </w:r>
          </w:p>
        </w:tc>
      </w:tr>
      <w:tr w:rsidR="006250DA" w14:paraId="74E81E63" w14:textId="77777777" w:rsidTr="007F79CB">
        <w:tc>
          <w:tcPr>
            <w:tcW w:w="9360" w:type="dxa"/>
            <w:gridSpan w:val="9"/>
            <w:vAlign w:val="center"/>
          </w:tcPr>
          <w:p w14:paraId="294270A4" w14:textId="6E5518C4" w:rsidR="006250DA" w:rsidRPr="006250DA" w:rsidRDefault="006250DA" w:rsidP="00D848BE">
            <w:pPr>
              <w:jc w:val="center"/>
              <w:rPr>
                <w:rFonts w:cstheme="minorHAnsi"/>
                <w:i/>
                <w:iCs/>
                <w:sz w:val="18"/>
                <w:szCs w:val="24"/>
              </w:rPr>
            </w:pPr>
            <w:r>
              <w:rPr>
                <w:rFonts w:cstheme="minorHAnsi"/>
                <w:i/>
                <w:iCs/>
                <w:sz w:val="18"/>
                <w:szCs w:val="24"/>
              </w:rPr>
              <w:t>1</w:t>
            </w:r>
            <w:r w:rsidRPr="006250DA">
              <w:rPr>
                <w:rFonts w:cstheme="minorHAnsi"/>
                <w:i/>
                <w:iCs/>
                <w:sz w:val="18"/>
                <w:szCs w:val="24"/>
                <w:vertAlign w:val="superscript"/>
              </w:rPr>
              <w:t>st</w:t>
            </w:r>
            <w:r>
              <w:rPr>
                <w:rFonts w:cstheme="minorHAnsi"/>
                <w:i/>
                <w:iCs/>
                <w:sz w:val="18"/>
                <w:szCs w:val="24"/>
              </w:rPr>
              <w:t xml:space="preserve"> Grade</w:t>
            </w:r>
          </w:p>
        </w:tc>
      </w:tr>
      <w:tr w:rsidR="006250DA" w14:paraId="0CC71956" w14:textId="77777777" w:rsidTr="006250DA">
        <w:tc>
          <w:tcPr>
            <w:tcW w:w="1326" w:type="dxa"/>
            <w:vAlign w:val="center"/>
          </w:tcPr>
          <w:p w14:paraId="42C3D863" w14:textId="22236D8B" w:rsidR="006250DA" w:rsidRPr="00DC1D9D" w:rsidRDefault="006250DA" w:rsidP="00D848BE">
            <w:pPr>
              <w:jc w:val="right"/>
              <w:rPr>
                <w:rFonts w:cstheme="minorHAnsi"/>
                <w:sz w:val="18"/>
                <w:szCs w:val="24"/>
              </w:rPr>
            </w:pPr>
            <w:r>
              <w:rPr>
                <w:rFonts w:cstheme="minorHAnsi"/>
                <w:sz w:val="18"/>
                <w:szCs w:val="24"/>
              </w:rPr>
              <w:t>All Students</w:t>
            </w:r>
          </w:p>
        </w:tc>
        <w:tc>
          <w:tcPr>
            <w:tcW w:w="862" w:type="dxa"/>
            <w:vAlign w:val="center"/>
          </w:tcPr>
          <w:p w14:paraId="6E5125A1" w14:textId="45B8A903" w:rsidR="006250DA" w:rsidRPr="00504436" w:rsidRDefault="00332765" w:rsidP="00D848BE">
            <w:pPr>
              <w:jc w:val="center"/>
              <w:rPr>
                <w:rFonts w:cstheme="minorHAnsi"/>
                <w:sz w:val="18"/>
                <w:szCs w:val="24"/>
              </w:rPr>
            </w:pPr>
            <w:r>
              <w:rPr>
                <w:rFonts w:cstheme="minorHAnsi"/>
                <w:sz w:val="18"/>
                <w:szCs w:val="24"/>
              </w:rPr>
              <w:t>118,159</w:t>
            </w:r>
          </w:p>
        </w:tc>
        <w:tc>
          <w:tcPr>
            <w:tcW w:w="904" w:type="dxa"/>
            <w:vAlign w:val="center"/>
          </w:tcPr>
          <w:p w14:paraId="3A1D7F42" w14:textId="73E2B14E" w:rsidR="006250DA" w:rsidRPr="00504436" w:rsidRDefault="00332765" w:rsidP="00D848BE">
            <w:pPr>
              <w:jc w:val="center"/>
              <w:rPr>
                <w:rFonts w:cstheme="minorHAnsi"/>
                <w:sz w:val="18"/>
                <w:szCs w:val="24"/>
              </w:rPr>
            </w:pPr>
            <w:r>
              <w:rPr>
                <w:rFonts w:cstheme="minorHAnsi"/>
                <w:sz w:val="18"/>
                <w:szCs w:val="24"/>
              </w:rPr>
              <w:t>54.03</w:t>
            </w:r>
          </w:p>
        </w:tc>
        <w:tc>
          <w:tcPr>
            <w:tcW w:w="680" w:type="dxa"/>
            <w:vAlign w:val="center"/>
          </w:tcPr>
          <w:p w14:paraId="18A7E4DD" w14:textId="05EABFC0" w:rsidR="006250DA" w:rsidRPr="00504436" w:rsidRDefault="00332765" w:rsidP="00D848BE">
            <w:pPr>
              <w:jc w:val="center"/>
              <w:rPr>
                <w:rFonts w:cstheme="minorHAnsi"/>
                <w:sz w:val="18"/>
                <w:szCs w:val="24"/>
              </w:rPr>
            </w:pPr>
            <w:r>
              <w:rPr>
                <w:rFonts w:cstheme="minorHAnsi"/>
                <w:sz w:val="18"/>
                <w:szCs w:val="24"/>
              </w:rPr>
              <w:t>46.94</w:t>
            </w:r>
          </w:p>
        </w:tc>
        <w:tc>
          <w:tcPr>
            <w:tcW w:w="818" w:type="dxa"/>
          </w:tcPr>
          <w:p w14:paraId="67EF88D5" w14:textId="7D159F3D" w:rsidR="006250DA" w:rsidRPr="00504436" w:rsidRDefault="00332765" w:rsidP="00D848BE">
            <w:pPr>
              <w:jc w:val="center"/>
              <w:rPr>
                <w:rFonts w:cstheme="minorHAnsi"/>
                <w:sz w:val="18"/>
                <w:szCs w:val="24"/>
              </w:rPr>
            </w:pPr>
            <w:r>
              <w:rPr>
                <w:rFonts w:cstheme="minorHAnsi"/>
                <w:sz w:val="18"/>
                <w:szCs w:val="24"/>
              </w:rPr>
              <w:t>7.84</w:t>
            </w:r>
          </w:p>
        </w:tc>
        <w:tc>
          <w:tcPr>
            <w:tcW w:w="1170" w:type="dxa"/>
            <w:vAlign w:val="center"/>
          </w:tcPr>
          <w:p w14:paraId="7C03BC9C" w14:textId="60E2F268" w:rsidR="006250DA" w:rsidRPr="00504436" w:rsidRDefault="00332765" w:rsidP="00D848BE">
            <w:pPr>
              <w:jc w:val="center"/>
              <w:rPr>
                <w:rFonts w:cstheme="minorHAnsi"/>
                <w:sz w:val="18"/>
                <w:szCs w:val="24"/>
              </w:rPr>
            </w:pPr>
            <w:r>
              <w:rPr>
                <w:rFonts w:cstheme="minorHAnsi"/>
                <w:sz w:val="18"/>
                <w:szCs w:val="24"/>
              </w:rPr>
              <w:t>9.17</w:t>
            </w:r>
          </w:p>
        </w:tc>
        <w:tc>
          <w:tcPr>
            <w:tcW w:w="1260" w:type="dxa"/>
            <w:vAlign w:val="center"/>
          </w:tcPr>
          <w:p w14:paraId="3667B411" w14:textId="10F3B822" w:rsidR="006250DA" w:rsidRPr="00504436" w:rsidRDefault="00332765" w:rsidP="00D848BE">
            <w:pPr>
              <w:jc w:val="center"/>
              <w:rPr>
                <w:rFonts w:cstheme="minorHAnsi"/>
                <w:sz w:val="18"/>
                <w:szCs w:val="24"/>
              </w:rPr>
            </w:pPr>
            <w:r>
              <w:rPr>
                <w:rFonts w:cstheme="minorHAnsi"/>
                <w:sz w:val="18"/>
                <w:szCs w:val="24"/>
              </w:rPr>
              <w:t>3.02</w:t>
            </w:r>
          </w:p>
        </w:tc>
        <w:tc>
          <w:tcPr>
            <w:tcW w:w="1170" w:type="dxa"/>
            <w:vAlign w:val="center"/>
          </w:tcPr>
          <w:p w14:paraId="4373D2B5" w14:textId="27495B45" w:rsidR="006250DA" w:rsidRPr="00504436" w:rsidRDefault="00332765" w:rsidP="00D848BE">
            <w:pPr>
              <w:jc w:val="center"/>
              <w:rPr>
                <w:rFonts w:cstheme="minorHAnsi"/>
                <w:sz w:val="18"/>
                <w:szCs w:val="24"/>
              </w:rPr>
            </w:pPr>
            <w:r>
              <w:rPr>
                <w:rFonts w:cstheme="minorHAnsi"/>
                <w:sz w:val="18"/>
                <w:szCs w:val="24"/>
              </w:rPr>
              <w:t>0.008</w:t>
            </w:r>
          </w:p>
        </w:tc>
        <w:tc>
          <w:tcPr>
            <w:tcW w:w="1170" w:type="dxa"/>
            <w:vAlign w:val="center"/>
          </w:tcPr>
          <w:p w14:paraId="4D673E1F" w14:textId="248A261C" w:rsidR="006250DA" w:rsidRPr="00504436" w:rsidRDefault="00332765" w:rsidP="00D848BE">
            <w:pPr>
              <w:jc w:val="center"/>
              <w:rPr>
                <w:rFonts w:cstheme="minorHAnsi"/>
                <w:sz w:val="18"/>
                <w:szCs w:val="24"/>
              </w:rPr>
            </w:pPr>
            <w:r>
              <w:rPr>
                <w:rFonts w:cstheme="minorHAnsi"/>
                <w:sz w:val="18"/>
                <w:szCs w:val="24"/>
              </w:rPr>
              <w:t>---</w:t>
            </w:r>
          </w:p>
        </w:tc>
      </w:tr>
      <w:tr w:rsidR="006250DA" w14:paraId="553047EA" w14:textId="77777777" w:rsidTr="006250DA">
        <w:tc>
          <w:tcPr>
            <w:tcW w:w="1326" w:type="dxa"/>
            <w:vAlign w:val="center"/>
          </w:tcPr>
          <w:p w14:paraId="4D23A533" w14:textId="3E9AA36C" w:rsidR="006250DA" w:rsidRPr="00DC1D9D" w:rsidRDefault="006250DA" w:rsidP="00D848BE">
            <w:pPr>
              <w:jc w:val="right"/>
              <w:rPr>
                <w:rFonts w:cstheme="minorHAnsi"/>
                <w:sz w:val="18"/>
                <w:szCs w:val="24"/>
              </w:rPr>
            </w:pPr>
            <w:r>
              <w:rPr>
                <w:rFonts w:cstheme="minorHAnsi"/>
                <w:sz w:val="18"/>
                <w:szCs w:val="24"/>
              </w:rPr>
              <w:t>Lab Schools</w:t>
            </w:r>
          </w:p>
        </w:tc>
        <w:tc>
          <w:tcPr>
            <w:tcW w:w="862" w:type="dxa"/>
            <w:vAlign w:val="center"/>
          </w:tcPr>
          <w:p w14:paraId="6B856EC4" w14:textId="1DC470A8" w:rsidR="006250DA" w:rsidRPr="00504436" w:rsidRDefault="009807F1" w:rsidP="00D848BE">
            <w:pPr>
              <w:jc w:val="center"/>
              <w:rPr>
                <w:rFonts w:cstheme="minorHAnsi"/>
                <w:sz w:val="18"/>
                <w:szCs w:val="24"/>
              </w:rPr>
            </w:pPr>
            <w:r>
              <w:rPr>
                <w:rFonts w:cstheme="minorHAnsi"/>
                <w:sz w:val="18"/>
                <w:szCs w:val="24"/>
              </w:rPr>
              <w:t>132</w:t>
            </w:r>
          </w:p>
        </w:tc>
        <w:tc>
          <w:tcPr>
            <w:tcW w:w="904" w:type="dxa"/>
            <w:vAlign w:val="center"/>
          </w:tcPr>
          <w:p w14:paraId="78F73BDA" w14:textId="36C7D3E5" w:rsidR="006250DA" w:rsidRPr="00504436" w:rsidRDefault="009807F1" w:rsidP="00D848BE">
            <w:pPr>
              <w:jc w:val="center"/>
              <w:rPr>
                <w:rFonts w:cstheme="minorHAnsi"/>
                <w:sz w:val="18"/>
                <w:szCs w:val="24"/>
              </w:rPr>
            </w:pPr>
            <w:r>
              <w:rPr>
                <w:rFonts w:cstheme="minorHAnsi"/>
                <w:sz w:val="18"/>
                <w:szCs w:val="24"/>
              </w:rPr>
              <w:t>81.82</w:t>
            </w:r>
          </w:p>
        </w:tc>
        <w:tc>
          <w:tcPr>
            <w:tcW w:w="680" w:type="dxa"/>
            <w:vAlign w:val="center"/>
          </w:tcPr>
          <w:p w14:paraId="3FC014B4" w14:textId="6256C0EC" w:rsidR="006250DA" w:rsidRPr="00504436" w:rsidRDefault="009807F1" w:rsidP="00D848BE">
            <w:pPr>
              <w:jc w:val="center"/>
              <w:rPr>
                <w:rFonts w:cstheme="minorHAnsi"/>
                <w:sz w:val="18"/>
                <w:szCs w:val="24"/>
              </w:rPr>
            </w:pPr>
            <w:r>
              <w:rPr>
                <w:rFonts w:cstheme="minorHAnsi"/>
                <w:sz w:val="18"/>
                <w:szCs w:val="24"/>
              </w:rPr>
              <w:t>74.24</w:t>
            </w:r>
          </w:p>
        </w:tc>
        <w:tc>
          <w:tcPr>
            <w:tcW w:w="818" w:type="dxa"/>
          </w:tcPr>
          <w:p w14:paraId="0E15A0B8" w14:textId="77131290" w:rsidR="006250DA" w:rsidRPr="00504436" w:rsidRDefault="009807F1" w:rsidP="00D848BE">
            <w:pPr>
              <w:jc w:val="center"/>
              <w:rPr>
                <w:rFonts w:cstheme="minorHAnsi"/>
                <w:sz w:val="18"/>
                <w:szCs w:val="24"/>
              </w:rPr>
            </w:pPr>
            <w:r>
              <w:rPr>
                <w:rFonts w:cstheme="minorHAnsi"/>
                <w:sz w:val="18"/>
                <w:szCs w:val="24"/>
              </w:rPr>
              <w:t>11.36</w:t>
            </w:r>
          </w:p>
        </w:tc>
        <w:tc>
          <w:tcPr>
            <w:tcW w:w="1170" w:type="dxa"/>
            <w:vAlign w:val="center"/>
          </w:tcPr>
          <w:p w14:paraId="46E716A1" w14:textId="13E57C9B" w:rsidR="006250DA" w:rsidRPr="00504436" w:rsidRDefault="009807F1" w:rsidP="00D848BE">
            <w:pPr>
              <w:jc w:val="center"/>
              <w:rPr>
                <w:rFonts w:cstheme="minorHAnsi"/>
                <w:sz w:val="18"/>
                <w:szCs w:val="24"/>
              </w:rPr>
            </w:pPr>
            <w:r>
              <w:rPr>
                <w:rFonts w:cstheme="minorHAnsi"/>
                <w:sz w:val="18"/>
                <w:szCs w:val="24"/>
              </w:rPr>
              <w:t>11.17</w:t>
            </w:r>
          </w:p>
        </w:tc>
        <w:tc>
          <w:tcPr>
            <w:tcW w:w="1260" w:type="dxa"/>
            <w:vAlign w:val="center"/>
          </w:tcPr>
          <w:p w14:paraId="2A5C0524" w14:textId="75B92AC0" w:rsidR="006250DA" w:rsidRPr="00504436" w:rsidRDefault="009807F1" w:rsidP="00D848BE">
            <w:pPr>
              <w:jc w:val="center"/>
              <w:rPr>
                <w:rFonts w:cstheme="minorHAnsi"/>
                <w:sz w:val="18"/>
                <w:szCs w:val="24"/>
              </w:rPr>
            </w:pPr>
            <w:r>
              <w:rPr>
                <w:rFonts w:cstheme="minorHAnsi"/>
                <w:sz w:val="18"/>
                <w:szCs w:val="24"/>
              </w:rPr>
              <w:t>10.61</w:t>
            </w:r>
          </w:p>
        </w:tc>
        <w:tc>
          <w:tcPr>
            <w:tcW w:w="1170" w:type="dxa"/>
            <w:vAlign w:val="center"/>
          </w:tcPr>
          <w:p w14:paraId="273E0A13" w14:textId="6BD53716" w:rsidR="006250DA" w:rsidRPr="00504436" w:rsidRDefault="009807F1" w:rsidP="00D848BE">
            <w:pPr>
              <w:jc w:val="center"/>
              <w:rPr>
                <w:rFonts w:cstheme="minorHAnsi"/>
                <w:sz w:val="18"/>
                <w:szCs w:val="24"/>
              </w:rPr>
            </w:pPr>
            <w:r>
              <w:rPr>
                <w:rFonts w:cstheme="minorHAnsi"/>
                <w:sz w:val="18"/>
                <w:szCs w:val="24"/>
              </w:rPr>
              <w:t>-0.479</w:t>
            </w:r>
          </w:p>
        </w:tc>
        <w:tc>
          <w:tcPr>
            <w:tcW w:w="1170" w:type="dxa"/>
            <w:vAlign w:val="center"/>
          </w:tcPr>
          <w:p w14:paraId="12154622" w14:textId="3F1170BF" w:rsidR="006250DA" w:rsidRPr="00504436" w:rsidRDefault="009807F1" w:rsidP="00D848BE">
            <w:pPr>
              <w:jc w:val="center"/>
              <w:rPr>
                <w:rFonts w:cstheme="minorHAnsi"/>
                <w:sz w:val="18"/>
                <w:szCs w:val="24"/>
              </w:rPr>
            </w:pPr>
            <w:r>
              <w:rPr>
                <w:rFonts w:cstheme="minorHAnsi"/>
                <w:sz w:val="18"/>
                <w:szCs w:val="24"/>
              </w:rPr>
              <w:t>---</w:t>
            </w:r>
          </w:p>
        </w:tc>
      </w:tr>
      <w:tr w:rsidR="006250DA" w14:paraId="4265A4DD" w14:textId="77777777" w:rsidTr="006250DA">
        <w:tc>
          <w:tcPr>
            <w:tcW w:w="1326" w:type="dxa"/>
            <w:vAlign w:val="center"/>
          </w:tcPr>
          <w:p w14:paraId="3843B360" w14:textId="237710F2" w:rsidR="006250DA" w:rsidRPr="00DC1D9D" w:rsidRDefault="006250DA" w:rsidP="00D848BE">
            <w:pPr>
              <w:jc w:val="right"/>
              <w:rPr>
                <w:rFonts w:cstheme="minorHAnsi"/>
                <w:sz w:val="18"/>
                <w:szCs w:val="24"/>
              </w:rPr>
            </w:pPr>
            <w:r>
              <w:rPr>
                <w:rFonts w:cstheme="minorHAnsi"/>
                <w:sz w:val="18"/>
                <w:szCs w:val="24"/>
              </w:rPr>
              <w:t>Matched</w:t>
            </w:r>
          </w:p>
        </w:tc>
        <w:tc>
          <w:tcPr>
            <w:tcW w:w="862" w:type="dxa"/>
            <w:vAlign w:val="center"/>
          </w:tcPr>
          <w:p w14:paraId="18453BC6" w14:textId="220725A7" w:rsidR="006250DA" w:rsidRPr="00504436" w:rsidRDefault="009807F1" w:rsidP="00D848BE">
            <w:pPr>
              <w:jc w:val="center"/>
              <w:rPr>
                <w:rFonts w:cstheme="minorHAnsi"/>
                <w:sz w:val="18"/>
                <w:szCs w:val="24"/>
              </w:rPr>
            </w:pPr>
            <w:r>
              <w:rPr>
                <w:rFonts w:cstheme="minorHAnsi"/>
                <w:sz w:val="18"/>
                <w:szCs w:val="24"/>
              </w:rPr>
              <w:t>565</w:t>
            </w:r>
          </w:p>
        </w:tc>
        <w:tc>
          <w:tcPr>
            <w:tcW w:w="904" w:type="dxa"/>
            <w:vAlign w:val="center"/>
          </w:tcPr>
          <w:p w14:paraId="3312E2DD" w14:textId="552EEADC" w:rsidR="006250DA" w:rsidRPr="00504436" w:rsidRDefault="009807F1" w:rsidP="00D848BE">
            <w:pPr>
              <w:jc w:val="center"/>
              <w:rPr>
                <w:rFonts w:cstheme="minorHAnsi"/>
                <w:sz w:val="18"/>
                <w:szCs w:val="24"/>
              </w:rPr>
            </w:pPr>
            <w:r>
              <w:rPr>
                <w:rFonts w:cstheme="minorHAnsi"/>
                <w:sz w:val="18"/>
                <w:szCs w:val="24"/>
              </w:rPr>
              <w:t>76.11</w:t>
            </w:r>
          </w:p>
        </w:tc>
        <w:tc>
          <w:tcPr>
            <w:tcW w:w="680" w:type="dxa"/>
            <w:vAlign w:val="center"/>
          </w:tcPr>
          <w:p w14:paraId="7695FA25" w14:textId="638BE5B9" w:rsidR="006250DA" w:rsidRPr="00504436" w:rsidRDefault="009807F1" w:rsidP="00D848BE">
            <w:pPr>
              <w:jc w:val="center"/>
              <w:rPr>
                <w:rFonts w:cstheme="minorHAnsi"/>
                <w:sz w:val="18"/>
                <w:szCs w:val="24"/>
              </w:rPr>
            </w:pPr>
            <w:r>
              <w:rPr>
                <w:rFonts w:cstheme="minorHAnsi"/>
                <w:sz w:val="18"/>
                <w:szCs w:val="24"/>
              </w:rPr>
              <w:t>7</w:t>
            </w:r>
            <w:r w:rsidR="002A2AB0">
              <w:rPr>
                <w:rFonts w:cstheme="minorHAnsi"/>
                <w:sz w:val="18"/>
                <w:szCs w:val="24"/>
              </w:rPr>
              <w:t>3.45</w:t>
            </w:r>
          </w:p>
        </w:tc>
        <w:tc>
          <w:tcPr>
            <w:tcW w:w="818" w:type="dxa"/>
          </w:tcPr>
          <w:p w14:paraId="5C470648" w14:textId="0141BBFA" w:rsidR="006250DA" w:rsidRPr="00504436" w:rsidRDefault="009807F1" w:rsidP="00D848BE">
            <w:pPr>
              <w:jc w:val="center"/>
              <w:rPr>
                <w:rFonts w:cstheme="minorHAnsi"/>
                <w:sz w:val="18"/>
                <w:szCs w:val="24"/>
              </w:rPr>
            </w:pPr>
            <w:r>
              <w:rPr>
                <w:rFonts w:cstheme="minorHAnsi"/>
                <w:sz w:val="18"/>
                <w:szCs w:val="24"/>
              </w:rPr>
              <w:t>12.57</w:t>
            </w:r>
          </w:p>
        </w:tc>
        <w:tc>
          <w:tcPr>
            <w:tcW w:w="1170" w:type="dxa"/>
            <w:vAlign w:val="center"/>
          </w:tcPr>
          <w:p w14:paraId="72AA50AE" w14:textId="436A81C9" w:rsidR="006250DA" w:rsidRPr="00504436" w:rsidRDefault="009807F1" w:rsidP="00D848BE">
            <w:pPr>
              <w:jc w:val="center"/>
              <w:rPr>
                <w:rFonts w:cstheme="minorHAnsi"/>
                <w:sz w:val="18"/>
                <w:szCs w:val="24"/>
              </w:rPr>
            </w:pPr>
            <w:r>
              <w:rPr>
                <w:rFonts w:cstheme="minorHAnsi"/>
                <w:sz w:val="18"/>
                <w:szCs w:val="24"/>
              </w:rPr>
              <w:t>10.62</w:t>
            </w:r>
          </w:p>
        </w:tc>
        <w:tc>
          <w:tcPr>
            <w:tcW w:w="1260" w:type="dxa"/>
            <w:vAlign w:val="center"/>
          </w:tcPr>
          <w:p w14:paraId="0AE60B24" w14:textId="420ECF59" w:rsidR="006250DA" w:rsidRPr="00504436" w:rsidRDefault="009807F1" w:rsidP="00D848BE">
            <w:pPr>
              <w:jc w:val="center"/>
              <w:rPr>
                <w:rFonts w:cstheme="minorHAnsi"/>
                <w:sz w:val="18"/>
                <w:szCs w:val="24"/>
              </w:rPr>
            </w:pPr>
            <w:r>
              <w:rPr>
                <w:rFonts w:cstheme="minorHAnsi"/>
                <w:sz w:val="18"/>
                <w:szCs w:val="24"/>
              </w:rPr>
              <w:t>8.50</w:t>
            </w:r>
          </w:p>
        </w:tc>
        <w:tc>
          <w:tcPr>
            <w:tcW w:w="1170" w:type="dxa"/>
            <w:vAlign w:val="center"/>
          </w:tcPr>
          <w:p w14:paraId="36461528" w14:textId="0A104303" w:rsidR="006250DA" w:rsidRPr="00504436" w:rsidRDefault="009807F1" w:rsidP="00D848BE">
            <w:pPr>
              <w:jc w:val="center"/>
              <w:rPr>
                <w:rFonts w:cstheme="minorHAnsi"/>
                <w:sz w:val="18"/>
                <w:szCs w:val="24"/>
              </w:rPr>
            </w:pPr>
            <w:r>
              <w:rPr>
                <w:rFonts w:cstheme="minorHAnsi"/>
                <w:sz w:val="18"/>
                <w:szCs w:val="24"/>
              </w:rPr>
              <w:t>-0.323</w:t>
            </w:r>
          </w:p>
        </w:tc>
        <w:tc>
          <w:tcPr>
            <w:tcW w:w="1170" w:type="dxa"/>
            <w:vAlign w:val="center"/>
          </w:tcPr>
          <w:p w14:paraId="39A67866" w14:textId="53E8C01E" w:rsidR="006250DA" w:rsidRPr="00504436" w:rsidRDefault="009807F1" w:rsidP="00D848BE">
            <w:pPr>
              <w:jc w:val="center"/>
              <w:rPr>
                <w:rFonts w:cstheme="minorHAnsi"/>
                <w:sz w:val="18"/>
                <w:szCs w:val="24"/>
              </w:rPr>
            </w:pPr>
            <w:r>
              <w:rPr>
                <w:rFonts w:cstheme="minorHAnsi"/>
                <w:sz w:val="18"/>
                <w:szCs w:val="24"/>
              </w:rPr>
              <w:t>---</w:t>
            </w:r>
          </w:p>
        </w:tc>
      </w:tr>
      <w:tr w:rsidR="006250DA" w14:paraId="57ACBFD2" w14:textId="77777777" w:rsidTr="007F79CB">
        <w:tc>
          <w:tcPr>
            <w:tcW w:w="9360" w:type="dxa"/>
            <w:gridSpan w:val="9"/>
          </w:tcPr>
          <w:p w14:paraId="50729AE2" w14:textId="23AE41AA" w:rsidR="006250DA" w:rsidRPr="006250DA" w:rsidRDefault="006250DA" w:rsidP="006250DA">
            <w:pPr>
              <w:jc w:val="center"/>
              <w:rPr>
                <w:rFonts w:cstheme="minorHAnsi"/>
                <w:i/>
                <w:iCs/>
                <w:sz w:val="18"/>
                <w:szCs w:val="20"/>
              </w:rPr>
            </w:pPr>
            <w:r>
              <w:rPr>
                <w:rFonts w:cstheme="minorHAnsi"/>
                <w:i/>
                <w:iCs/>
                <w:sz w:val="18"/>
                <w:szCs w:val="20"/>
              </w:rPr>
              <w:t>2</w:t>
            </w:r>
            <w:r w:rsidRPr="006250DA">
              <w:rPr>
                <w:rFonts w:cstheme="minorHAnsi"/>
                <w:i/>
                <w:iCs/>
                <w:sz w:val="18"/>
                <w:szCs w:val="20"/>
                <w:vertAlign w:val="superscript"/>
              </w:rPr>
              <w:t>nd</w:t>
            </w:r>
            <w:r>
              <w:rPr>
                <w:rFonts w:cstheme="minorHAnsi"/>
                <w:i/>
                <w:iCs/>
                <w:sz w:val="18"/>
                <w:szCs w:val="20"/>
              </w:rPr>
              <w:t xml:space="preserve"> Grade</w:t>
            </w:r>
          </w:p>
        </w:tc>
      </w:tr>
      <w:tr w:rsidR="006250DA" w14:paraId="5424A22C" w14:textId="77777777" w:rsidTr="006250DA">
        <w:tc>
          <w:tcPr>
            <w:tcW w:w="1326" w:type="dxa"/>
            <w:vAlign w:val="center"/>
          </w:tcPr>
          <w:p w14:paraId="1947AE76" w14:textId="642FEEA6" w:rsidR="006250DA" w:rsidRPr="00DC1D9D" w:rsidRDefault="006250DA" w:rsidP="006250DA">
            <w:pPr>
              <w:jc w:val="right"/>
              <w:rPr>
                <w:rFonts w:cstheme="minorHAnsi"/>
                <w:sz w:val="18"/>
                <w:szCs w:val="24"/>
              </w:rPr>
            </w:pPr>
            <w:r>
              <w:rPr>
                <w:rFonts w:cstheme="minorHAnsi"/>
                <w:sz w:val="18"/>
                <w:szCs w:val="24"/>
              </w:rPr>
              <w:t>All Students</w:t>
            </w:r>
          </w:p>
        </w:tc>
        <w:tc>
          <w:tcPr>
            <w:tcW w:w="862" w:type="dxa"/>
            <w:vAlign w:val="center"/>
          </w:tcPr>
          <w:p w14:paraId="6DFCB02B" w14:textId="2C2CD606" w:rsidR="006250DA" w:rsidRPr="00504436" w:rsidRDefault="00332765" w:rsidP="006250DA">
            <w:pPr>
              <w:jc w:val="center"/>
              <w:rPr>
                <w:rFonts w:cstheme="minorHAnsi"/>
                <w:sz w:val="18"/>
                <w:szCs w:val="24"/>
              </w:rPr>
            </w:pPr>
            <w:r>
              <w:rPr>
                <w:rFonts w:cstheme="minorHAnsi"/>
                <w:sz w:val="18"/>
                <w:szCs w:val="24"/>
              </w:rPr>
              <w:t>117,065</w:t>
            </w:r>
          </w:p>
        </w:tc>
        <w:tc>
          <w:tcPr>
            <w:tcW w:w="904" w:type="dxa"/>
            <w:vAlign w:val="center"/>
          </w:tcPr>
          <w:p w14:paraId="11FF5085" w14:textId="67214E78" w:rsidR="006250DA" w:rsidRPr="00504436" w:rsidRDefault="00332765" w:rsidP="006250DA">
            <w:pPr>
              <w:jc w:val="center"/>
              <w:rPr>
                <w:rFonts w:cstheme="minorHAnsi"/>
                <w:sz w:val="18"/>
                <w:szCs w:val="24"/>
              </w:rPr>
            </w:pPr>
            <w:r>
              <w:rPr>
                <w:rFonts w:cstheme="minorHAnsi"/>
                <w:sz w:val="18"/>
                <w:szCs w:val="24"/>
              </w:rPr>
              <w:t>53.99</w:t>
            </w:r>
          </w:p>
        </w:tc>
        <w:tc>
          <w:tcPr>
            <w:tcW w:w="680" w:type="dxa"/>
            <w:vAlign w:val="center"/>
          </w:tcPr>
          <w:p w14:paraId="0AC0AB34" w14:textId="6BAF0022" w:rsidR="006250DA" w:rsidRPr="00504436" w:rsidRDefault="00332765" w:rsidP="006250DA">
            <w:pPr>
              <w:jc w:val="center"/>
              <w:rPr>
                <w:rFonts w:cstheme="minorHAnsi"/>
                <w:sz w:val="18"/>
                <w:szCs w:val="24"/>
              </w:rPr>
            </w:pPr>
            <w:r>
              <w:rPr>
                <w:rFonts w:cstheme="minorHAnsi"/>
                <w:sz w:val="18"/>
                <w:szCs w:val="24"/>
              </w:rPr>
              <w:t>46.83</w:t>
            </w:r>
          </w:p>
        </w:tc>
        <w:tc>
          <w:tcPr>
            <w:tcW w:w="818" w:type="dxa"/>
          </w:tcPr>
          <w:p w14:paraId="38619DE0" w14:textId="67F255D4" w:rsidR="006250DA" w:rsidRPr="00504436" w:rsidRDefault="00332765" w:rsidP="006250DA">
            <w:pPr>
              <w:jc w:val="center"/>
              <w:rPr>
                <w:rFonts w:cstheme="minorHAnsi"/>
                <w:sz w:val="18"/>
                <w:szCs w:val="24"/>
              </w:rPr>
            </w:pPr>
            <w:r>
              <w:rPr>
                <w:rFonts w:cstheme="minorHAnsi"/>
                <w:sz w:val="18"/>
                <w:szCs w:val="24"/>
              </w:rPr>
              <w:t>9.94</w:t>
            </w:r>
          </w:p>
        </w:tc>
        <w:tc>
          <w:tcPr>
            <w:tcW w:w="1170" w:type="dxa"/>
            <w:vAlign w:val="center"/>
          </w:tcPr>
          <w:p w14:paraId="1C7495CD" w14:textId="259A98DE" w:rsidR="006250DA" w:rsidRPr="00504436" w:rsidRDefault="00332765" w:rsidP="006250DA">
            <w:pPr>
              <w:jc w:val="center"/>
              <w:rPr>
                <w:rFonts w:cstheme="minorHAnsi"/>
                <w:sz w:val="18"/>
                <w:szCs w:val="24"/>
              </w:rPr>
            </w:pPr>
            <w:r>
              <w:rPr>
                <w:rFonts w:cstheme="minorHAnsi"/>
                <w:sz w:val="18"/>
                <w:szCs w:val="24"/>
              </w:rPr>
              <w:t>8.32</w:t>
            </w:r>
          </w:p>
        </w:tc>
        <w:tc>
          <w:tcPr>
            <w:tcW w:w="1260" w:type="dxa"/>
            <w:vAlign w:val="center"/>
          </w:tcPr>
          <w:p w14:paraId="3FA39DE2" w14:textId="3D84FBB6" w:rsidR="006250DA" w:rsidRPr="00504436" w:rsidRDefault="00332765" w:rsidP="006250DA">
            <w:pPr>
              <w:jc w:val="center"/>
              <w:rPr>
                <w:rFonts w:cstheme="minorHAnsi"/>
                <w:sz w:val="18"/>
                <w:szCs w:val="24"/>
              </w:rPr>
            </w:pPr>
            <w:r>
              <w:rPr>
                <w:rFonts w:cstheme="minorHAnsi"/>
                <w:sz w:val="18"/>
                <w:szCs w:val="24"/>
              </w:rPr>
              <w:t>3.71</w:t>
            </w:r>
          </w:p>
        </w:tc>
        <w:tc>
          <w:tcPr>
            <w:tcW w:w="1170" w:type="dxa"/>
            <w:vAlign w:val="center"/>
          </w:tcPr>
          <w:p w14:paraId="02ECBABA" w14:textId="6F6AE94C" w:rsidR="006250DA" w:rsidRPr="00504436" w:rsidRDefault="00332765" w:rsidP="006250DA">
            <w:pPr>
              <w:jc w:val="center"/>
              <w:rPr>
                <w:rFonts w:cstheme="minorHAnsi"/>
                <w:sz w:val="18"/>
                <w:szCs w:val="24"/>
              </w:rPr>
            </w:pPr>
            <w:r>
              <w:rPr>
                <w:rFonts w:cstheme="minorHAnsi"/>
                <w:sz w:val="18"/>
                <w:szCs w:val="24"/>
              </w:rPr>
              <w:t>0.020</w:t>
            </w:r>
          </w:p>
        </w:tc>
        <w:tc>
          <w:tcPr>
            <w:tcW w:w="1170" w:type="dxa"/>
            <w:vAlign w:val="center"/>
          </w:tcPr>
          <w:p w14:paraId="4EC419F5" w14:textId="0E016C2A" w:rsidR="006250DA" w:rsidRPr="00504436" w:rsidRDefault="00332765" w:rsidP="006250DA">
            <w:pPr>
              <w:jc w:val="center"/>
              <w:rPr>
                <w:rFonts w:cstheme="minorHAnsi"/>
                <w:sz w:val="18"/>
                <w:szCs w:val="24"/>
              </w:rPr>
            </w:pPr>
            <w:r>
              <w:rPr>
                <w:rFonts w:cstheme="minorHAnsi"/>
                <w:sz w:val="18"/>
                <w:szCs w:val="24"/>
              </w:rPr>
              <w:t>---</w:t>
            </w:r>
          </w:p>
        </w:tc>
      </w:tr>
      <w:tr w:rsidR="006250DA" w14:paraId="7B18FFC8" w14:textId="77777777" w:rsidTr="006250DA">
        <w:tc>
          <w:tcPr>
            <w:tcW w:w="1326" w:type="dxa"/>
            <w:vAlign w:val="center"/>
          </w:tcPr>
          <w:p w14:paraId="1C6E5E7C" w14:textId="1DE34952" w:rsidR="006250DA" w:rsidRPr="00DC1D9D" w:rsidRDefault="006250DA" w:rsidP="006250DA">
            <w:pPr>
              <w:jc w:val="right"/>
              <w:rPr>
                <w:rFonts w:cstheme="minorHAnsi"/>
                <w:sz w:val="18"/>
                <w:szCs w:val="24"/>
              </w:rPr>
            </w:pPr>
            <w:r>
              <w:rPr>
                <w:rFonts w:cstheme="minorHAnsi"/>
                <w:sz w:val="18"/>
                <w:szCs w:val="24"/>
              </w:rPr>
              <w:t>Lab Schools</w:t>
            </w:r>
          </w:p>
        </w:tc>
        <w:tc>
          <w:tcPr>
            <w:tcW w:w="862" w:type="dxa"/>
            <w:vAlign w:val="center"/>
          </w:tcPr>
          <w:p w14:paraId="512B6F1F" w14:textId="477EF579" w:rsidR="006250DA" w:rsidRPr="00504436" w:rsidRDefault="009807F1" w:rsidP="006250DA">
            <w:pPr>
              <w:jc w:val="center"/>
              <w:rPr>
                <w:rFonts w:cstheme="minorHAnsi"/>
                <w:sz w:val="18"/>
                <w:szCs w:val="24"/>
              </w:rPr>
            </w:pPr>
            <w:r>
              <w:rPr>
                <w:rFonts w:cstheme="minorHAnsi"/>
                <w:sz w:val="18"/>
                <w:szCs w:val="24"/>
              </w:rPr>
              <w:t>132</w:t>
            </w:r>
          </w:p>
        </w:tc>
        <w:tc>
          <w:tcPr>
            <w:tcW w:w="904" w:type="dxa"/>
            <w:vAlign w:val="center"/>
          </w:tcPr>
          <w:p w14:paraId="0A52DB52" w14:textId="69505ED9" w:rsidR="006250DA" w:rsidRPr="00504436" w:rsidRDefault="00D3253F" w:rsidP="006250DA">
            <w:pPr>
              <w:jc w:val="center"/>
              <w:rPr>
                <w:rFonts w:cstheme="minorHAnsi"/>
                <w:sz w:val="18"/>
                <w:szCs w:val="24"/>
              </w:rPr>
            </w:pPr>
            <w:r>
              <w:rPr>
                <w:rFonts w:cstheme="minorHAnsi"/>
                <w:sz w:val="18"/>
                <w:szCs w:val="24"/>
              </w:rPr>
              <w:t>85.61</w:t>
            </w:r>
          </w:p>
        </w:tc>
        <w:tc>
          <w:tcPr>
            <w:tcW w:w="680" w:type="dxa"/>
            <w:vAlign w:val="center"/>
          </w:tcPr>
          <w:p w14:paraId="27B49136" w14:textId="5F9B5A36" w:rsidR="006250DA" w:rsidRPr="00504436" w:rsidRDefault="00D3253F" w:rsidP="006250DA">
            <w:pPr>
              <w:jc w:val="center"/>
              <w:rPr>
                <w:rFonts w:cstheme="minorHAnsi"/>
                <w:sz w:val="18"/>
                <w:szCs w:val="24"/>
              </w:rPr>
            </w:pPr>
            <w:r>
              <w:rPr>
                <w:rFonts w:cstheme="minorHAnsi"/>
                <w:sz w:val="18"/>
                <w:szCs w:val="24"/>
              </w:rPr>
              <w:t>67.42</w:t>
            </w:r>
          </w:p>
        </w:tc>
        <w:tc>
          <w:tcPr>
            <w:tcW w:w="818" w:type="dxa"/>
          </w:tcPr>
          <w:p w14:paraId="58FF2107" w14:textId="4503C9D6" w:rsidR="006250DA" w:rsidRPr="00504436" w:rsidRDefault="00D3253F" w:rsidP="006250DA">
            <w:pPr>
              <w:jc w:val="center"/>
              <w:rPr>
                <w:rFonts w:cstheme="minorHAnsi"/>
                <w:sz w:val="18"/>
                <w:szCs w:val="24"/>
              </w:rPr>
            </w:pPr>
            <w:r>
              <w:rPr>
                <w:rFonts w:cstheme="minorHAnsi"/>
                <w:sz w:val="18"/>
                <w:szCs w:val="24"/>
              </w:rPr>
              <w:t>19.70</w:t>
            </w:r>
          </w:p>
        </w:tc>
        <w:tc>
          <w:tcPr>
            <w:tcW w:w="1170" w:type="dxa"/>
            <w:vAlign w:val="center"/>
          </w:tcPr>
          <w:p w14:paraId="553395D7" w14:textId="39D0D3BA" w:rsidR="006250DA" w:rsidRPr="00504436" w:rsidRDefault="00D3253F" w:rsidP="006250DA">
            <w:pPr>
              <w:jc w:val="center"/>
              <w:rPr>
                <w:rFonts w:cstheme="minorHAnsi"/>
                <w:sz w:val="18"/>
                <w:szCs w:val="24"/>
              </w:rPr>
            </w:pPr>
            <w:r>
              <w:rPr>
                <w:rFonts w:cstheme="minorHAnsi"/>
                <w:sz w:val="18"/>
                <w:szCs w:val="24"/>
              </w:rPr>
              <w:t>10.58</w:t>
            </w:r>
          </w:p>
        </w:tc>
        <w:tc>
          <w:tcPr>
            <w:tcW w:w="1260" w:type="dxa"/>
            <w:vAlign w:val="center"/>
          </w:tcPr>
          <w:p w14:paraId="37082F0D" w14:textId="627A3E01" w:rsidR="006250DA" w:rsidRPr="00504436" w:rsidRDefault="00D3253F" w:rsidP="006250DA">
            <w:pPr>
              <w:jc w:val="center"/>
              <w:rPr>
                <w:rFonts w:cstheme="minorHAnsi"/>
                <w:sz w:val="18"/>
                <w:szCs w:val="24"/>
              </w:rPr>
            </w:pPr>
            <w:r>
              <w:rPr>
                <w:rFonts w:cstheme="minorHAnsi"/>
                <w:sz w:val="18"/>
                <w:szCs w:val="24"/>
              </w:rPr>
              <w:t>12.88</w:t>
            </w:r>
          </w:p>
        </w:tc>
        <w:tc>
          <w:tcPr>
            <w:tcW w:w="1170" w:type="dxa"/>
            <w:vAlign w:val="center"/>
          </w:tcPr>
          <w:p w14:paraId="5001C64F" w14:textId="7D9F5F5C" w:rsidR="006250DA" w:rsidRPr="00504436" w:rsidRDefault="00D3253F" w:rsidP="006250DA">
            <w:pPr>
              <w:jc w:val="center"/>
              <w:rPr>
                <w:rFonts w:cstheme="minorHAnsi"/>
                <w:sz w:val="18"/>
                <w:szCs w:val="24"/>
              </w:rPr>
            </w:pPr>
            <w:r>
              <w:rPr>
                <w:rFonts w:cstheme="minorHAnsi"/>
                <w:sz w:val="18"/>
                <w:szCs w:val="24"/>
              </w:rPr>
              <w:t>-0.608</w:t>
            </w:r>
          </w:p>
        </w:tc>
        <w:tc>
          <w:tcPr>
            <w:tcW w:w="1170" w:type="dxa"/>
            <w:vAlign w:val="center"/>
          </w:tcPr>
          <w:p w14:paraId="6F21B491" w14:textId="6B611E5A" w:rsidR="006250DA" w:rsidRPr="00504436" w:rsidRDefault="00D3253F" w:rsidP="006250DA">
            <w:pPr>
              <w:jc w:val="center"/>
              <w:rPr>
                <w:rFonts w:cstheme="minorHAnsi"/>
                <w:sz w:val="18"/>
                <w:szCs w:val="24"/>
              </w:rPr>
            </w:pPr>
            <w:r>
              <w:rPr>
                <w:rFonts w:cstheme="minorHAnsi"/>
                <w:sz w:val="18"/>
                <w:szCs w:val="24"/>
              </w:rPr>
              <w:t>---</w:t>
            </w:r>
          </w:p>
        </w:tc>
      </w:tr>
      <w:tr w:rsidR="006250DA" w14:paraId="72E7F3E8" w14:textId="77777777" w:rsidTr="006250DA">
        <w:tc>
          <w:tcPr>
            <w:tcW w:w="1326" w:type="dxa"/>
            <w:vAlign w:val="center"/>
          </w:tcPr>
          <w:p w14:paraId="09198516" w14:textId="3380A1A9" w:rsidR="006250DA" w:rsidRPr="00DC1D9D" w:rsidRDefault="006250DA" w:rsidP="006250DA">
            <w:pPr>
              <w:jc w:val="right"/>
              <w:rPr>
                <w:rFonts w:cstheme="minorHAnsi"/>
                <w:sz w:val="18"/>
                <w:szCs w:val="24"/>
              </w:rPr>
            </w:pPr>
            <w:r>
              <w:rPr>
                <w:rFonts w:cstheme="minorHAnsi"/>
                <w:sz w:val="18"/>
                <w:szCs w:val="24"/>
              </w:rPr>
              <w:t>Matched</w:t>
            </w:r>
          </w:p>
        </w:tc>
        <w:tc>
          <w:tcPr>
            <w:tcW w:w="862" w:type="dxa"/>
            <w:vAlign w:val="center"/>
          </w:tcPr>
          <w:p w14:paraId="33133FFC" w14:textId="44EE9BF0" w:rsidR="006250DA" w:rsidRPr="00504436" w:rsidRDefault="009807F1" w:rsidP="006250DA">
            <w:pPr>
              <w:jc w:val="center"/>
              <w:rPr>
                <w:rFonts w:cstheme="minorHAnsi"/>
                <w:sz w:val="18"/>
                <w:szCs w:val="24"/>
              </w:rPr>
            </w:pPr>
            <w:r>
              <w:rPr>
                <w:rFonts w:cstheme="minorHAnsi"/>
                <w:sz w:val="18"/>
                <w:szCs w:val="24"/>
              </w:rPr>
              <w:t>581</w:t>
            </w:r>
          </w:p>
        </w:tc>
        <w:tc>
          <w:tcPr>
            <w:tcW w:w="904" w:type="dxa"/>
            <w:vAlign w:val="center"/>
          </w:tcPr>
          <w:p w14:paraId="048A79B9" w14:textId="7DFA7046" w:rsidR="006250DA" w:rsidRPr="00504436" w:rsidRDefault="00D3253F" w:rsidP="006250DA">
            <w:pPr>
              <w:jc w:val="center"/>
              <w:rPr>
                <w:rFonts w:cstheme="minorHAnsi"/>
                <w:sz w:val="18"/>
                <w:szCs w:val="24"/>
              </w:rPr>
            </w:pPr>
            <w:r>
              <w:rPr>
                <w:rFonts w:cstheme="minorHAnsi"/>
                <w:sz w:val="18"/>
                <w:szCs w:val="24"/>
              </w:rPr>
              <w:t>86.05</w:t>
            </w:r>
          </w:p>
        </w:tc>
        <w:tc>
          <w:tcPr>
            <w:tcW w:w="680" w:type="dxa"/>
            <w:vAlign w:val="center"/>
          </w:tcPr>
          <w:p w14:paraId="4F6C5325" w14:textId="3389AF02" w:rsidR="006250DA" w:rsidRPr="00504436" w:rsidRDefault="00D3253F" w:rsidP="006250DA">
            <w:pPr>
              <w:jc w:val="center"/>
              <w:rPr>
                <w:rFonts w:cstheme="minorHAnsi"/>
                <w:sz w:val="18"/>
                <w:szCs w:val="24"/>
              </w:rPr>
            </w:pPr>
            <w:r>
              <w:rPr>
                <w:rFonts w:cstheme="minorHAnsi"/>
                <w:sz w:val="18"/>
                <w:szCs w:val="24"/>
              </w:rPr>
              <w:t>6</w:t>
            </w:r>
            <w:r w:rsidR="002A2AB0">
              <w:rPr>
                <w:rFonts w:cstheme="minorHAnsi"/>
                <w:sz w:val="18"/>
                <w:szCs w:val="24"/>
              </w:rPr>
              <w:t>8.16</w:t>
            </w:r>
          </w:p>
        </w:tc>
        <w:tc>
          <w:tcPr>
            <w:tcW w:w="818" w:type="dxa"/>
          </w:tcPr>
          <w:p w14:paraId="5CF695DF" w14:textId="5E577DD5" w:rsidR="006250DA" w:rsidRPr="00504436" w:rsidRDefault="00D3253F" w:rsidP="006250DA">
            <w:pPr>
              <w:jc w:val="center"/>
              <w:rPr>
                <w:rFonts w:cstheme="minorHAnsi"/>
                <w:sz w:val="18"/>
                <w:szCs w:val="24"/>
              </w:rPr>
            </w:pPr>
            <w:r>
              <w:rPr>
                <w:rFonts w:cstheme="minorHAnsi"/>
                <w:sz w:val="18"/>
                <w:szCs w:val="24"/>
              </w:rPr>
              <w:t>19.28</w:t>
            </w:r>
          </w:p>
        </w:tc>
        <w:tc>
          <w:tcPr>
            <w:tcW w:w="1170" w:type="dxa"/>
            <w:vAlign w:val="center"/>
          </w:tcPr>
          <w:p w14:paraId="09BEA157" w14:textId="0219C347" w:rsidR="006250DA" w:rsidRPr="00504436" w:rsidRDefault="00D3253F" w:rsidP="006250DA">
            <w:pPr>
              <w:jc w:val="center"/>
              <w:rPr>
                <w:rFonts w:cstheme="minorHAnsi"/>
                <w:sz w:val="18"/>
                <w:szCs w:val="24"/>
              </w:rPr>
            </w:pPr>
            <w:r>
              <w:rPr>
                <w:rFonts w:cstheme="minorHAnsi"/>
                <w:sz w:val="18"/>
                <w:szCs w:val="24"/>
              </w:rPr>
              <w:t>10.91</w:t>
            </w:r>
          </w:p>
        </w:tc>
        <w:tc>
          <w:tcPr>
            <w:tcW w:w="1260" w:type="dxa"/>
            <w:vAlign w:val="center"/>
          </w:tcPr>
          <w:p w14:paraId="7140337C" w14:textId="74114DDC" w:rsidR="006250DA" w:rsidRPr="00504436" w:rsidRDefault="00D3253F" w:rsidP="006250DA">
            <w:pPr>
              <w:jc w:val="center"/>
              <w:rPr>
                <w:rFonts w:cstheme="minorHAnsi"/>
                <w:sz w:val="18"/>
                <w:szCs w:val="24"/>
              </w:rPr>
            </w:pPr>
            <w:r>
              <w:rPr>
                <w:rFonts w:cstheme="minorHAnsi"/>
                <w:sz w:val="18"/>
                <w:szCs w:val="24"/>
              </w:rPr>
              <w:t>12.56</w:t>
            </w:r>
          </w:p>
        </w:tc>
        <w:tc>
          <w:tcPr>
            <w:tcW w:w="1170" w:type="dxa"/>
            <w:vAlign w:val="center"/>
          </w:tcPr>
          <w:p w14:paraId="470414AE" w14:textId="6C8E7E47" w:rsidR="006250DA" w:rsidRPr="00504436" w:rsidRDefault="00D3253F" w:rsidP="006250DA">
            <w:pPr>
              <w:jc w:val="center"/>
              <w:rPr>
                <w:rFonts w:cstheme="minorHAnsi"/>
                <w:sz w:val="18"/>
                <w:szCs w:val="24"/>
              </w:rPr>
            </w:pPr>
            <w:r>
              <w:rPr>
                <w:rFonts w:cstheme="minorHAnsi"/>
                <w:sz w:val="18"/>
                <w:szCs w:val="24"/>
              </w:rPr>
              <w:t>-0.566</w:t>
            </w:r>
          </w:p>
        </w:tc>
        <w:tc>
          <w:tcPr>
            <w:tcW w:w="1170" w:type="dxa"/>
            <w:vAlign w:val="center"/>
          </w:tcPr>
          <w:p w14:paraId="029A4223" w14:textId="1E9033D9" w:rsidR="006250DA" w:rsidRPr="00504436" w:rsidRDefault="009807F1" w:rsidP="006250DA">
            <w:pPr>
              <w:jc w:val="center"/>
              <w:rPr>
                <w:rFonts w:cstheme="minorHAnsi"/>
                <w:sz w:val="18"/>
                <w:szCs w:val="24"/>
              </w:rPr>
            </w:pPr>
            <w:r>
              <w:rPr>
                <w:rFonts w:cstheme="minorHAnsi"/>
                <w:sz w:val="18"/>
                <w:szCs w:val="24"/>
              </w:rPr>
              <w:t>---</w:t>
            </w:r>
          </w:p>
        </w:tc>
      </w:tr>
      <w:tr w:rsidR="006250DA" w14:paraId="5330DE16" w14:textId="77777777" w:rsidTr="007F79CB">
        <w:tc>
          <w:tcPr>
            <w:tcW w:w="9360" w:type="dxa"/>
            <w:gridSpan w:val="9"/>
          </w:tcPr>
          <w:p w14:paraId="4784F827" w14:textId="127C9408" w:rsidR="006250DA" w:rsidRPr="006250DA" w:rsidRDefault="006250DA" w:rsidP="006250DA">
            <w:pPr>
              <w:jc w:val="center"/>
              <w:rPr>
                <w:rFonts w:cstheme="minorHAnsi"/>
                <w:i/>
                <w:iCs/>
                <w:sz w:val="18"/>
                <w:szCs w:val="20"/>
              </w:rPr>
            </w:pPr>
            <w:r w:rsidRPr="006250DA">
              <w:rPr>
                <w:rFonts w:cstheme="minorHAnsi"/>
                <w:i/>
                <w:iCs/>
                <w:sz w:val="18"/>
                <w:szCs w:val="20"/>
              </w:rPr>
              <w:t>3</w:t>
            </w:r>
            <w:r w:rsidRPr="006250DA">
              <w:rPr>
                <w:rFonts w:cstheme="minorHAnsi"/>
                <w:i/>
                <w:iCs/>
                <w:sz w:val="18"/>
                <w:szCs w:val="20"/>
                <w:vertAlign w:val="superscript"/>
              </w:rPr>
              <w:t>rd</w:t>
            </w:r>
            <w:r w:rsidRPr="006250DA">
              <w:rPr>
                <w:rFonts w:cstheme="minorHAnsi"/>
                <w:i/>
                <w:iCs/>
                <w:sz w:val="18"/>
                <w:szCs w:val="20"/>
              </w:rPr>
              <w:t xml:space="preserve"> Grade</w:t>
            </w:r>
          </w:p>
        </w:tc>
      </w:tr>
      <w:tr w:rsidR="006250DA" w14:paraId="7092370F" w14:textId="77777777" w:rsidTr="006250DA">
        <w:tc>
          <w:tcPr>
            <w:tcW w:w="1326" w:type="dxa"/>
            <w:vAlign w:val="center"/>
          </w:tcPr>
          <w:p w14:paraId="14C4DDBE" w14:textId="18A752F8" w:rsidR="006250DA" w:rsidRPr="00DC1D9D" w:rsidRDefault="006250DA" w:rsidP="006250DA">
            <w:pPr>
              <w:jc w:val="right"/>
              <w:rPr>
                <w:rFonts w:cstheme="minorHAnsi"/>
                <w:sz w:val="18"/>
                <w:szCs w:val="24"/>
              </w:rPr>
            </w:pPr>
            <w:r>
              <w:rPr>
                <w:rFonts w:cstheme="minorHAnsi"/>
                <w:sz w:val="18"/>
                <w:szCs w:val="24"/>
              </w:rPr>
              <w:t>All Students</w:t>
            </w:r>
          </w:p>
        </w:tc>
        <w:tc>
          <w:tcPr>
            <w:tcW w:w="862" w:type="dxa"/>
            <w:vAlign w:val="center"/>
          </w:tcPr>
          <w:p w14:paraId="5F7B7D24" w14:textId="7962D8D6" w:rsidR="006250DA" w:rsidRPr="00504436" w:rsidRDefault="00332765" w:rsidP="006250DA">
            <w:pPr>
              <w:jc w:val="center"/>
              <w:rPr>
                <w:rFonts w:cstheme="minorHAnsi"/>
                <w:sz w:val="18"/>
                <w:szCs w:val="24"/>
              </w:rPr>
            </w:pPr>
            <w:r>
              <w:rPr>
                <w:rFonts w:cstheme="minorHAnsi"/>
                <w:sz w:val="18"/>
                <w:szCs w:val="24"/>
              </w:rPr>
              <w:t>118,930</w:t>
            </w:r>
          </w:p>
        </w:tc>
        <w:tc>
          <w:tcPr>
            <w:tcW w:w="904" w:type="dxa"/>
            <w:vAlign w:val="center"/>
          </w:tcPr>
          <w:p w14:paraId="1F7CB3FC" w14:textId="1E94314A" w:rsidR="006250DA" w:rsidRPr="00504436" w:rsidRDefault="00332765" w:rsidP="006250DA">
            <w:pPr>
              <w:jc w:val="center"/>
              <w:rPr>
                <w:rFonts w:cstheme="minorHAnsi"/>
                <w:sz w:val="18"/>
                <w:szCs w:val="24"/>
              </w:rPr>
            </w:pPr>
            <w:r>
              <w:rPr>
                <w:rFonts w:cstheme="minorHAnsi"/>
                <w:sz w:val="18"/>
                <w:szCs w:val="24"/>
              </w:rPr>
              <w:t>54.21</w:t>
            </w:r>
          </w:p>
        </w:tc>
        <w:tc>
          <w:tcPr>
            <w:tcW w:w="680" w:type="dxa"/>
            <w:vAlign w:val="center"/>
          </w:tcPr>
          <w:p w14:paraId="0E117F3A" w14:textId="3ADB84DA" w:rsidR="006250DA" w:rsidRPr="00504436" w:rsidRDefault="00332765" w:rsidP="006250DA">
            <w:pPr>
              <w:jc w:val="center"/>
              <w:rPr>
                <w:rFonts w:cstheme="minorHAnsi"/>
                <w:sz w:val="18"/>
                <w:szCs w:val="24"/>
              </w:rPr>
            </w:pPr>
            <w:r>
              <w:rPr>
                <w:rFonts w:cstheme="minorHAnsi"/>
                <w:sz w:val="18"/>
                <w:szCs w:val="24"/>
              </w:rPr>
              <w:t>46.95</w:t>
            </w:r>
          </w:p>
        </w:tc>
        <w:tc>
          <w:tcPr>
            <w:tcW w:w="818" w:type="dxa"/>
          </w:tcPr>
          <w:p w14:paraId="7207B395" w14:textId="593978BD" w:rsidR="006250DA" w:rsidRPr="00504436" w:rsidRDefault="00332765" w:rsidP="006250DA">
            <w:pPr>
              <w:jc w:val="center"/>
              <w:rPr>
                <w:rFonts w:cstheme="minorHAnsi"/>
                <w:sz w:val="18"/>
                <w:szCs w:val="24"/>
              </w:rPr>
            </w:pPr>
            <w:r>
              <w:rPr>
                <w:rFonts w:cstheme="minorHAnsi"/>
                <w:sz w:val="18"/>
                <w:szCs w:val="24"/>
              </w:rPr>
              <w:t>12.76</w:t>
            </w:r>
          </w:p>
        </w:tc>
        <w:tc>
          <w:tcPr>
            <w:tcW w:w="1170" w:type="dxa"/>
            <w:vAlign w:val="center"/>
          </w:tcPr>
          <w:p w14:paraId="504A7BC8" w14:textId="292F18AA" w:rsidR="006250DA" w:rsidRPr="00504436" w:rsidRDefault="00332765" w:rsidP="006250DA">
            <w:pPr>
              <w:jc w:val="center"/>
              <w:rPr>
                <w:rFonts w:cstheme="minorHAnsi"/>
                <w:sz w:val="18"/>
                <w:szCs w:val="24"/>
              </w:rPr>
            </w:pPr>
            <w:r>
              <w:rPr>
                <w:rFonts w:cstheme="minorHAnsi"/>
                <w:sz w:val="18"/>
                <w:szCs w:val="24"/>
              </w:rPr>
              <w:t>7.92</w:t>
            </w:r>
          </w:p>
        </w:tc>
        <w:tc>
          <w:tcPr>
            <w:tcW w:w="1260" w:type="dxa"/>
            <w:vAlign w:val="center"/>
          </w:tcPr>
          <w:p w14:paraId="547B8BD6" w14:textId="64BFDD25" w:rsidR="006250DA" w:rsidRPr="00504436" w:rsidRDefault="00332765" w:rsidP="006250DA">
            <w:pPr>
              <w:jc w:val="center"/>
              <w:rPr>
                <w:rFonts w:cstheme="minorHAnsi"/>
                <w:sz w:val="18"/>
                <w:szCs w:val="24"/>
              </w:rPr>
            </w:pPr>
            <w:r>
              <w:rPr>
                <w:rFonts w:cstheme="minorHAnsi"/>
                <w:sz w:val="18"/>
                <w:szCs w:val="24"/>
              </w:rPr>
              <w:t>5.12</w:t>
            </w:r>
          </w:p>
        </w:tc>
        <w:tc>
          <w:tcPr>
            <w:tcW w:w="1170" w:type="dxa"/>
            <w:vAlign w:val="center"/>
          </w:tcPr>
          <w:p w14:paraId="22B064F7" w14:textId="4F0E87FE" w:rsidR="006250DA" w:rsidRPr="00504436" w:rsidRDefault="00332765" w:rsidP="006250DA">
            <w:pPr>
              <w:jc w:val="center"/>
              <w:rPr>
                <w:rFonts w:cstheme="minorHAnsi"/>
                <w:sz w:val="18"/>
                <w:szCs w:val="24"/>
              </w:rPr>
            </w:pPr>
            <w:r>
              <w:rPr>
                <w:rFonts w:cstheme="minorHAnsi"/>
                <w:sz w:val="18"/>
                <w:szCs w:val="24"/>
              </w:rPr>
              <w:t>0.011</w:t>
            </w:r>
          </w:p>
        </w:tc>
        <w:tc>
          <w:tcPr>
            <w:tcW w:w="1170" w:type="dxa"/>
            <w:vAlign w:val="center"/>
          </w:tcPr>
          <w:p w14:paraId="641E1180" w14:textId="15E078C7" w:rsidR="006250DA" w:rsidRPr="00504436" w:rsidRDefault="00332765" w:rsidP="006250DA">
            <w:pPr>
              <w:jc w:val="center"/>
              <w:rPr>
                <w:rFonts w:cstheme="minorHAnsi"/>
                <w:sz w:val="18"/>
                <w:szCs w:val="24"/>
              </w:rPr>
            </w:pPr>
            <w:r>
              <w:rPr>
                <w:rFonts w:cstheme="minorHAnsi"/>
                <w:sz w:val="18"/>
                <w:szCs w:val="24"/>
              </w:rPr>
              <w:t>---</w:t>
            </w:r>
          </w:p>
        </w:tc>
      </w:tr>
      <w:tr w:rsidR="006250DA" w14:paraId="23FA1404" w14:textId="77777777" w:rsidTr="006250DA">
        <w:tc>
          <w:tcPr>
            <w:tcW w:w="1326" w:type="dxa"/>
            <w:vAlign w:val="center"/>
          </w:tcPr>
          <w:p w14:paraId="3457394E" w14:textId="6626BC19" w:rsidR="006250DA" w:rsidRPr="00DC1D9D" w:rsidRDefault="006250DA" w:rsidP="006250DA">
            <w:pPr>
              <w:jc w:val="right"/>
              <w:rPr>
                <w:rFonts w:cstheme="minorHAnsi"/>
                <w:sz w:val="18"/>
                <w:szCs w:val="24"/>
              </w:rPr>
            </w:pPr>
            <w:r>
              <w:rPr>
                <w:rFonts w:cstheme="minorHAnsi"/>
                <w:sz w:val="18"/>
                <w:szCs w:val="24"/>
              </w:rPr>
              <w:t>Lab Schools</w:t>
            </w:r>
          </w:p>
        </w:tc>
        <w:tc>
          <w:tcPr>
            <w:tcW w:w="862" w:type="dxa"/>
            <w:vAlign w:val="center"/>
          </w:tcPr>
          <w:p w14:paraId="113E2CBF" w14:textId="7797D815" w:rsidR="006250DA" w:rsidRPr="00504436" w:rsidRDefault="00A6441A" w:rsidP="006250DA">
            <w:pPr>
              <w:jc w:val="center"/>
              <w:rPr>
                <w:rFonts w:cstheme="minorHAnsi"/>
                <w:sz w:val="18"/>
                <w:szCs w:val="24"/>
              </w:rPr>
            </w:pPr>
            <w:r>
              <w:rPr>
                <w:rFonts w:cstheme="minorHAnsi"/>
                <w:sz w:val="18"/>
                <w:szCs w:val="24"/>
              </w:rPr>
              <w:t>115</w:t>
            </w:r>
          </w:p>
        </w:tc>
        <w:tc>
          <w:tcPr>
            <w:tcW w:w="904" w:type="dxa"/>
            <w:vAlign w:val="center"/>
          </w:tcPr>
          <w:p w14:paraId="194752D6" w14:textId="5999FB30" w:rsidR="006250DA" w:rsidRPr="00504436" w:rsidRDefault="00A6441A" w:rsidP="006250DA">
            <w:pPr>
              <w:jc w:val="center"/>
              <w:rPr>
                <w:rFonts w:cstheme="minorHAnsi"/>
                <w:sz w:val="18"/>
                <w:szCs w:val="24"/>
              </w:rPr>
            </w:pPr>
            <w:r>
              <w:rPr>
                <w:rFonts w:cstheme="minorHAnsi"/>
                <w:sz w:val="18"/>
                <w:szCs w:val="24"/>
              </w:rPr>
              <w:t>93.04</w:t>
            </w:r>
          </w:p>
        </w:tc>
        <w:tc>
          <w:tcPr>
            <w:tcW w:w="680" w:type="dxa"/>
            <w:vAlign w:val="center"/>
          </w:tcPr>
          <w:p w14:paraId="60419F1A" w14:textId="5EA4E37D" w:rsidR="006250DA" w:rsidRPr="00504436" w:rsidRDefault="00A6441A" w:rsidP="006250DA">
            <w:pPr>
              <w:jc w:val="center"/>
              <w:rPr>
                <w:rFonts w:cstheme="minorHAnsi"/>
                <w:sz w:val="18"/>
                <w:szCs w:val="24"/>
              </w:rPr>
            </w:pPr>
            <w:r>
              <w:rPr>
                <w:rFonts w:cstheme="minorHAnsi"/>
                <w:sz w:val="18"/>
                <w:szCs w:val="24"/>
              </w:rPr>
              <w:t>70.43</w:t>
            </w:r>
          </w:p>
        </w:tc>
        <w:tc>
          <w:tcPr>
            <w:tcW w:w="818" w:type="dxa"/>
          </w:tcPr>
          <w:p w14:paraId="795A6078" w14:textId="2F729972" w:rsidR="006250DA" w:rsidRPr="00504436" w:rsidRDefault="00A6441A" w:rsidP="006250DA">
            <w:pPr>
              <w:jc w:val="center"/>
              <w:rPr>
                <w:rFonts w:cstheme="minorHAnsi"/>
                <w:sz w:val="18"/>
                <w:szCs w:val="24"/>
              </w:rPr>
            </w:pPr>
            <w:r>
              <w:rPr>
                <w:rFonts w:cstheme="minorHAnsi"/>
                <w:sz w:val="18"/>
                <w:szCs w:val="24"/>
              </w:rPr>
              <w:t>17.39</w:t>
            </w:r>
          </w:p>
        </w:tc>
        <w:tc>
          <w:tcPr>
            <w:tcW w:w="1170" w:type="dxa"/>
            <w:vAlign w:val="center"/>
          </w:tcPr>
          <w:p w14:paraId="50818D99" w14:textId="6D79A842" w:rsidR="006250DA" w:rsidRPr="00504436" w:rsidRDefault="00A6441A" w:rsidP="006250DA">
            <w:pPr>
              <w:jc w:val="center"/>
              <w:rPr>
                <w:rFonts w:cstheme="minorHAnsi"/>
                <w:sz w:val="18"/>
                <w:szCs w:val="24"/>
              </w:rPr>
            </w:pPr>
            <w:r>
              <w:rPr>
                <w:rFonts w:cstheme="minorHAnsi"/>
                <w:sz w:val="18"/>
                <w:szCs w:val="24"/>
              </w:rPr>
              <w:t>7.91</w:t>
            </w:r>
          </w:p>
        </w:tc>
        <w:tc>
          <w:tcPr>
            <w:tcW w:w="1260" w:type="dxa"/>
            <w:vAlign w:val="center"/>
          </w:tcPr>
          <w:p w14:paraId="152208AB" w14:textId="785561AB" w:rsidR="006250DA" w:rsidRPr="00504436" w:rsidRDefault="00A6441A" w:rsidP="006250DA">
            <w:pPr>
              <w:jc w:val="center"/>
              <w:rPr>
                <w:rFonts w:cstheme="minorHAnsi"/>
                <w:sz w:val="18"/>
                <w:szCs w:val="24"/>
              </w:rPr>
            </w:pPr>
            <w:r>
              <w:rPr>
                <w:rFonts w:cstheme="minorHAnsi"/>
                <w:sz w:val="18"/>
                <w:szCs w:val="24"/>
              </w:rPr>
              <w:t>14.78</w:t>
            </w:r>
          </w:p>
        </w:tc>
        <w:tc>
          <w:tcPr>
            <w:tcW w:w="1170" w:type="dxa"/>
            <w:vAlign w:val="center"/>
          </w:tcPr>
          <w:p w14:paraId="55B332AE" w14:textId="5B6836B5" w:rsidR="006250DA" w:rsidRPr="00504436" w:rsidRDefault="00A6441A" w:rsidP="006250DA">
            <w:pPr>
              <w:jc w:val="center"/>
              <w:rPr>
                <w:rFonts w:cstheme="minorHAnsi"/>
                <w:sz w:val="18"/>
                <w:szCs w:val="24"/>
              </w:rPr>
            </w:pPr>
            <w:r>
              <w:rPr>
                <w:rFonts w:cstheme="minorHAnsi"/>
                <w:sz w:val="18"/>
                <w:szCs w:val="24"/>
              </w:rPr>
              <w:t>-0.413</w:t>
            </w:r>
          </w:p>
        </w:tc>
        <w:tc>
          <w:tcPr>
            <w:tcW w:w="1170" w:type="dxa"/>
            <w:vAlign w:val="center"/>
          </w:tcPr>
          <w:p w14:paraId="56AC1DA5" w14:textId="6B8580B8" w:rsidR="006250DA" w:rsidRPr="00504436" w:rsidRDefault="00A6441A" w:rsidP="006250DA">
            <w:pPr>
              <w:jc w:val="center"/>
              <w:rPr>
                <w:rFonts w:cstheme="minorHAnsi"/>
                <w:sz w:val="18"/>
                <w:szCs w:val="24"/>
              </w:rPr>
            </w:pPr>
            <w:r>
              <w:rPr>
                <w:rFonts w:cstheme="minorHAnsi"/>
                <w:sz w:val="18"/>
                <w:szCs w:val="24"/>
              </w:rPr>
              <w:t>---</w:t>
            </w:r>
          </w:p>
        </w:tc>
      </w:tr>
      <w:tr w:rsidR="006250DA" w14:paraId="377B8E95" w14:textId="77777777" w:rsidTr="006250DA">
        <w:tc>
          <w:tcPr>
            <w:tcW w:w="1326" w:type="dxa"/>
            <w:vAlign w:val="center"/>
          </w:tcPr>
          <w:p w14:paraId="4BDEA575" w14:textId="770B08A4" w:rsidR="006250DA" w:rsidRPr="00DC1D9D" w:rsidRDefault="006250DA" w:rsidP="006250DA">
            <w:pPr>
              <w:jc w:val="right"/>
              <w:rPr>
                <w:rFonts w:cstheme="minorHAnsi"/>
                <w:sz w:val="18"/>
                <w:szCs w:val="24"/>
              </w:rPr>
            </w:pPr>
            <w:r>
              <w:rPr>
                <w:rFonts w:cstheme="minorHAnsi"/>
                <w:sz w:val="18"/>
                <w:szCs w:val="24"/>
              </w:rPr>
              <w:t>Matched</w:t>
            </w:r>
          </w:p>
        </w:tc>
        <w:tc>
          <w:tcPr>
            <w:tcW w:w="862" w:type="dxa"/>
            <w:vAlign w:val="center"/>
          </w:tcPr>
          <w:p w14:paraId="377E68B3" w14:textId="676003D1" w:rsidR="006250DA" w:rsidRPr="00504436" w:rsidRDefault="00A6441A" w:rsidP="006250DA">
            <w:pPr>
              <w:jc w:val="center"/>
              <w:rPr>
                <w:rFonts w:cstheme="minorHAnsi"/>
                <w:sz w:val="18"/>
                <w:szCs w:val="24"/>
              </w:rPr>
            </w:pPr>
            <w:r>
              <w:rPr>
                <w:rFonts w:cstheme="minorHAnsi"/>
                <w:sz w:val="18"/>
                <w:szCs w:val="24"/>
              </w:rPr>
              <w:t>460</w:t>
            </w:r>
          </w:p>
        </w:tc>
        <w:tc>
          <w:tcPr>
            <w:tcW w:w="904" w:type="dxa"/>
            <w:vAlign w:val="center"/>
          </w:tcPr>
          <w:p w14:paraId="078363C9" w14:textId="492E3B0C" w:rsidR="006250DA" w:rsidRPr="00504436" w:rsidRDefault="00A6441A" w:rsidP="006250DA">
            <w:pPr>
              <w:jc w:val="center"/>
              <w:rPr>
                <w:rFonts w:cstheme="minorHAnsi"/>
                <w:sz w:val="18"/>
                <w:szCs w:val="24"/>
              </w:rPr>
            </w:pPr>
            <w:r>
              <w:rPr>
                <w:rFonts w:cstheme="minorHAnsi"/>
                <w:sz w:val="18"/>
                <w:szCs w:val="24"/>
              </w:rPr>
              <w:t>91.52</w:t>
            </w:r>
          </w:p>
        </w:tc>
        <w:tc>
          <w:tcPr>
            <w:tcW w:w="680" w:type="dxa"/>
            <w:vAlign w:val="center"/>
          </w:tcPr>
          <w:p w14:paraId="5697D7CE" w14:textId="425CABB1" w:rsidR="006250DA" w:rsidRPr="00504436" w:rsidRDefault="00A6441A" w:rsidP="006250DA">
            <w:pPr>
              <w:jc w:val="center"/>
              <w:rPr>
                <w:rFonts w:cstheme="minorHAnsi"/>
                <w:sz w:val="18"/>
                <w:szCs w:val="24"/>
              </w:rPr>
            </w:pPr>
            <w:r>
              <w:rPr>
                <w:rFonts w:cstheme="minorHAnsi"/>
                <w:sz w:val="18"/>
                <w:szCs w:val="24"/>
              </w:rPr>
              <w:t>68.91</w:t>
            </w:r>
          </w:p>
        </w:tc>
        <w:tc>
          <w:tcPr>
            <w:tcW w:w="818" w:type="dxa"/>
          </w:tcPr>
          <w:p w14:paraId="2CD4F1B1" w14:textId="7359391E" w:rsidR="006250DA" w:rsidRPr="00504436" w:rsidRDefault="00A6441A" w:rsidP="006250DA">
            <w:pPr>
              <w:jc w:val="center"/>
              <w:rPr>
                <w:rFonts w:cstheme="minorHAnsi"/>
                <w:sz w:val="18"/>
                <w:szCs w:val="24"/>
              </w:rPr>
            </w:pPr>
            <w:r>
              <w:rPr>
                <w:rFonts w:cstheme="minorHAnsi"/>
                <w:sz w:val="18"/>
                <w:szCs w:val="24"/>
              </w:rPr>
              <w:t>17.39</w:t>
            </w:r>
          </w:p>
        </w:tc>
        <w:tc>
          <w:tcPr>
            <w:tcW w:w="1170" w:type="dxa"/>
            <w:vAlign w:val="center"/>
          </w:tcPr>
          <w:p w14:paraId="1A3EE61C" w14:textId="2A0B6880" w:rsidR="006250DA" w:rsidRPr="00504436" w:rsidRDefault="00A6441A" w:rsidP="006250DA">
            <w:pPr>
              <w:jc w:val="center"/>
              <w:rPr>
                <w:rFonts w:cstheme="minorHAnsi"/>
                <w:sz w:val="18"/>
                <w:szCs w:val="24"/>
              </w:rPr>
            </w:pPr>
            <w:r>
              <w:rPr>
                <w:rFonts w:cstheme="minorHAnsi"/>
                <w:sz w:val="18"/>
                <w:szCs w:val="24"/>
              </w:rPr>
              <w:t>9.02</w:t>
            </w:r>
          </w:p>
        </w:tc>
        <w:tc>
          <w:tcPr>
            <w:tcW w:w="1260" w:type="dxa"/>
            <w:vAlign w:val="center"/>
          </w:tcPr>
          <w:p w14:paraId="7A0E85B4" w14:textId="71BE242F" w:rsidR="006250DA" w:rsidRPr="00504436" w:rsidRDefault="00A6441A" w:rsidP="006250DA">
            <w:pPr>
              <w:jc w:val="center"/>
              <w:rPr>
                <w:rFonts w:cstheme="minorHAnsi"/>
                <w:sz w:val="18"/>
                <w:szCs w:val="24"/>
              </w:rPr>
            </w:pPr>
            <w:r>
              <w:rPr>
                <w:rFonts w:cstheme="minorHAnsi"/>
                <w:sz w:val="18"/>
                <w:szCs w:val="24"/>
              </w:rPr>
              <w:t>17.17</w:t>
            </w:r>
          </w:p>
        </w:tc>
        <w:tc>
          <w:tcPr>
            <w:tcW w:w="1170" w:type="dxa"/>
            <w:vAlign w:val="center"/>
          </w:tcPr>
          <w:p w14:paraId="1A2C39D0" w14:textId="04D1EB81" w:rsidR="006250DA" w:rsidRPr="00504436" w:rsidRDefault="00A6441A" w:rsidP="006250DA">
            <w:pPr>
              <w:jc w:val="center"/>
              <w:rPr>
                <w:rFonts w:cstheme="minorHAnsi"/>
                <w:sz w:val="18"/>
                <w:szCs w:val="24"/>
              </w:rPr>
            </w:pPr>
            <w:r>
              <w:rPr>
                <w:rFonts w:cstheme="minorHAnsi"/>
                <w:sz w:val="18"/>
                <w:szCs w:val="24"/>
              </w:rPr>
              <w:t>-0.404</w:t>
            </w:r>
          </w:p>
        </w:tc>
        <w:tc>
          <w:tcPr>
            <w:tcW w:w="1170" w:type="dxa"/>
            <w:vAlign w:val="center"/>
          </w:tcPr>
          <w:p w14:paraId="2DB297F0" w14:textId="6B045512" w:rsidR="006250DA" w:rsidRPr="00504436" w:rsidRDefault="00A6441A" w:rsidP="006250DA">
            <w:pPr>
              <w:jc w:val="center"/>
              <w:rPr>
                <w:rFonts w:cstheme="minorHAnsi"/>
                <w:sz w:val="18"/>
                <w:szCs w:val="24"/>
              </w:rPr>
            </w:pPr>
            <w:r>
              <w:rPr>
                <w:rFonts w:cstheme="minorHAnsi"/>
                <w:sz w:val="18"/>
                <w:szCs w:val="24"/>
              </w:rPr>
              <w:t>---</w:t>
            </w:r>
          </w:p>
        </w:tc>
      </w:tr>
      <w:tr w:rsidR="006250DA" w14:paraId="66103A56" w14:textId="77777777" w:rsidTr="007F79CB">
        <w:tc>
          <w:tcPr>
            <w:tcW w:w="9360" w:type="dxa"/>
            <w:gridSpan w:val="9"/>
            <w:vAlign w:val="center"/>
          </w:tcPr>
          <w:p w14:paraId="1A19AD0B" w14:textId="2F6A7D8D" w:rsidR="006250DA" w:rsidRPr="006250DA" w:rsidRDefault="006250DA" w:rsidP="006250DA">
            <w:pPr>
              <w:jc w:val="center"/>
              <w:rPr>
                <w:rFonts w:cstheme="minorHAnsi"/>
                <w:i/>
                <w:iCs/>
                <w:sz w:val="18"/>
                <w:szCs w:val="20"/>
              </w:rPr>
            </w:pPr>
            <w:r>
              <w:rPr>
                <w:rFonts w:cstheme="minorHAnsi"/>
                <w:i/>
                <w:iCs/>
                <w:sz w:val="18"/>
                <w:szCs w:val="20"/>
              </w:rPr>
              <w:t>4th Grade</w:t>
            </w:r>
          </w:p>
        </w:tc>
      </w:tr>
      <w:tr w:rsidR="006250DA" w14:paraId="2AA86354" w14:textId="77777777" w:rsidTr="006250DA">
        <w:tc>
          <w:tcPr>
            <w:tcW w:w="1326" w:type="dxa"/>
            <w:vAlign w:val="center"/>
          </w:tcPr>
          <w:p w14:paraId="179AF00D" w14:textId="018D5C71" w:rsidR="006250DA" w:rsidRPr="00DC1D9D" w:rsidRDefault="006250DA" w:rsidP="006250DA">
            <w:pPr>
              <w:jc w:val="right"/>
              <w:rPr>
                <w:rFonts w:cstheme="minorHAnsi"/>
                <w:sz w:val="18"/>
                <w:szCs w:val="24"/>
              </w:rPr>
            </w:pPr>
            <w:r>
              <w:rPr>
                <w:rFonts w:cstheme="minorHAnsi"/>
                <w:sz w:val="18"/>
                <w:szCs w:val="24"/>
              </w:rPr>
              <w:t>All Students</w:t>
            </w:r>
          </w:p>
        </w:tc>
        <w:tc>
          <w:tcPr>
            <w:tcW w:w="862" w:type="dxa"/>
            <w:vAlign w:val="center"/>
          </w:tcPr>
          <w:p w14:paraId="2DF7F166" w14:textId="191FF34E" w:rsidR="006250DA" w:rsidRPr="00504436" w:rsidRDefault="00332765" w:rsidP="006250DA">
            <w:pPr>
              <w:jc w:val="center"/>
              <w:rPr>
                <w:rFonts w:cstheme="minorHAnsi"/>
                <w:sz w:val="18"/>
                <w:szCs w:val="24"/>
              </w:rPr>
            </w:pPr>
            <w:r>
              <w:rPr>
                <w:rFonts w:cstheme="minorHAnsi"/>
                <w:sz w:val="18"/>
                <w:szCs w:val="24"/>
              </w:rPr>
              <w:t>123,254</w:t>
            </w:r>
          </w:p>
        </w:tc>
        <w:tc>
          <w:tcPr>
            <w:tcW w:w="904" w:type="dxa"/>
            <w:vAlign w:val="center"/>
          </w:tcPr>
          <w:p w14:paraId="1BF4A542" w14:textId="69F03134" w:rsidR="006250DA" w:rsidRPr="00504436" w:rsidRDefault="00332765" w:rsidP="006250DA">
            <w:pPr>
              <w:jc w:val="center"/>
              <w:rPr>
                <w:rFonts w:cstheme="minorHAnsi"/>
                <w:sz w:val="18"/>
                <w:szCs w:val="24"/>
              </w:rPr>
            </w:pPr>
            <w:r>
              <w:rPr>
                <w:rFonts w:cstheme="minorHAnsi"/>
                <w:sz w:val="18"/>
                <w:szCs w:val="24"/>
              </w:rPr>
              <w:t>54.24</w:t>
            </w:r>
          </w:p>
        </w:tc>
        <w:tc>
          <w:tcPr>
            <w:tcW w:w="680" w:type="dxa"/>
            <w:vAlign w:val="center"/>
          </w:tcPr>
          <w:p w14:paraId="1374883B" w14:textId="59576757" w:rsidR="006250DA" w:rsidRPr="00504436" w:rsidRDefault="00332765" w:rsidP="006250DA">
            <w:pPr>
              <w:jc w:val="center"/>
              <w:rPr>
                <w:rFonts w:cstheme="minorHAnsi"/>
                <w:sz w:val="18"/>
                <w:szCs w:val="24"/>
              </w:rPr>
            </w:pPr>
            <w:r>
              <w:rPr>
                <w:rFonts w:cstheme="minorHAnsi"/>
                <w:sz w:val="18"/>
                <w:szCs w:val="24"/>
              </w:rPr>
              <w:t>47.22</w:t>
            </w:r>
          </w:p>
        </w:tc>
        <w:tc>
          <w:tcPr>
            <w:tcW w:w="818" w:type="dxa"/>
          </w:tcPr>
          <w:p w14:paraId="3AF7D89A" w14:textId="0F0C7498" w:rsidR="006250DA" w:rsidRPr="00504436" w:rsidRDefault="00332765" w:rsidP="006250DA">
            <w:pPr>
              <w:jc w:val="center"/>
              <w:rPr>
                <w:rFonts w:cstheme="minorHAnsi"/>
                <w:sz w:val="18"/>
                <w:szCs w:val="24"/>
              </w:rPr>
            </w:pPr>
            <w:r>
              <w:rPr>
                <w:rFonts w:cstheme="minorHAnsi"/>
                <w:sz w:val="18"/>
                <w:szCs w:val="24"/>
              </w:rPr>
              <w:t>14.55</w:t>
            </w:r>
          </w:p>
        </w:tc>
        <w:tc>
          <w:tcPr>
            <w:tcW w:w="1170" w:type="dxa"/>
            <w:vAlign w:val="center"/>
          </w:tcPr>
          <w:p w14:paraId="789AFC33" w14:textId="2E7A1A5A" w:rsidR="006250DA" w:rsidRPr="00504436" w:rsidRDefault="00332765" w:rsidP="006250DA">
            <w:pPr>
              <w:jc w:val="center"/>
              <w:rPr>
                <w:rFonts w:cstheme="minorHAnsi"/>
                <w:sz w:val="18"/>
                <w:szCs w:val="24"/>
              </w:rPr>
            </w:pPr>
            <w:r>
              <w:rPr>
                <w:rFonts w:cstheme="minorHAnsi"/>
                <w:sz w:val="18"/>
                <w:szCs w:val="24"/>
              </w:rPr>
              <w:t>7.52</w:t>
            </w:r>
          </w:p>
        </w:tc>
        <w:tc>
          <w:tcPr>
            <w:tcW w:w="1260" w:type="dxa"/>
            <w:vAlign w:val="center"/>
          </w:tcPr>
          <w:p w14:paraId="6CCA1647" w14:textId="46FE8AA0" w:rsidR="006250DA" w:rsidRPr="00504436" w:rsidRDefault="00332765" w:rsidP="006250DA">
            <w:pPr>
              <w:jc w:val="center"/>
              <w:rPr>
                <w:rFonts w:cstheme="minorHAnsi"/>
                <w:sz w:val="18"/>
                <w:szCs w:val="24"/>
              </w:rPr>
            </w:pPr>
            <w:r>
              <w:rPr>
                <w:rFonts w:cstheme="minorHAnsi"/>
                <w:sz w:val="18"/>
                <w:szCs w:val="24"/>
              </w:rPr>
              <w:t>6.22</w:t>
            </w:r>
          </w:p>
        </w:tc>
        <w:tc>
          <w:tcPr>
            <w:tcW w:w="1170" w:type="dxa"/>
            <w:vAlign w:val="center"/>
          </w:tcPr>
          <w:p w14:paraId="1FC59569" w14:textId="77C65238" w:rsidR="006250DA" w:rsidRPr="00504436" w:rsidRDefault="00332765" w:rsidP="006250DA">
            <w:pPr>
              <w:jc w:val="center"/>
              <w:rPr>
                <w:rFonts w:cstheme="minorHAnsi"/>
                <w:sz w:val="18"/>
                <w:szCs w:val="24"/>
              </w:rPr>
            </w:pPr>
            <w:r>
              <w:rPr>
                <w:rFonts w:cstheme="minorHAnsi"/>
                <w:sz w:val="18"/>
                <w:szCs w:val="24"/>
              </w:rPr>
              <w:t>0.012</w:t>
            </w:r>
          </w:p>
        </w:tc>
        <w:tc>
          <w:tcPr>
            <w:tcW w:w="1170" w:type="dxa"/>
            <w:vAlign w:val="center"/>
          </w:tcPr>
          <w:p w14:paraId="7A019B1B" w14:textId="097DDB44" w:rsidR="006250DA" w:rsidRPr="00504436" w:rsidRDefault="00332765" w:rsidP="006250DA">
            <w:pPr>
              <w:jc w:val="center"/>
              <w:rPr>
                <w:rFonts w:cstheme="minorHAnsi"/>
                <w:sz w:val="18"/>
                <w:szCs w:val="24"/>
              </w:rPr>
            </w:pPr>
            <w:r>
              <w:rPr>
                <w:rFonts w:cstheme="minorHAnsi"/>
                <w:sz w:val="18"/>
                <w:szCs w:val="24"/>
              </w:rPr>
              <w:t>0.013</w:t>
            </w:r>
          </w:p>
        </w:tc>
      </w:tr>
      <w:tr w:rsidR="006250DA" w14:paraId="0BC50183" w14:textId="77777777" w:rsidTr="006250DA">
        <w:tc>
          <w:tcPr>
            <w:tcW w:w="1326" w:type="dxa"/>
            <w:vAlign w:val="center"/>
          </w:tcPr>
          <w:p w14:paraId="18F7658F" w14:textId="27201592" w:rsidR="006250DA" w:rsidRPr="00DC1D9D" w:rsidRDefault="006250DA" w:rsidP="006250DA">
            <w:pPr>
              <w:jc w:val="right"/>
              <w:rPr>
                <w:rFonts w:cstheme="minorHAnsi"/>
                <w:sz w:val="18"/>
                <w:szCs w:val="24"/>
              </w:rPr>
            </w:pPr>
            <w:r>
              <w:rPr>
                <w:rFonts w:cstheme="minorHAnsi"/>
                <w:sz w:val="18"/>
                <w:szCs w:val="24"/>
              </w:rPr>
              <w:t>Lab Schools</w:t>
            </w:r>
          </w:p>
        </w:tc>
        <w:tc>
          <w:tcPr>
            <w:tcW w:w="862" w:type="dxa"/>
            <w:vAlign w:val="center"/>
          </w:tcPr>
          <w:p w14:paraId="65FFE2D5" w14:textId="576D2F41" w:rsidR="006250DA" w:rsidRPr="00504436" w:rsidRDefault="002A092D" w:rsidP="006250DA">
            <w:pPr>
              <w:jc w:val="center"/>
              <w:rPr>
                <w:rFonts w:cstheme="minorHAnsi"/>
                <w:sz w:val="18"/>
                <w:szCs w:val="24"/>
              </w:rPr>
            </w:pPr>
            <w:r>
              <w:rPr>
                <w:rFonts w:cstheme="minorHAnsi"/>
                <w:sz w:val="18"/>
                <w:szCs w:val="24"/>
              </w:rPr>
              <w:t>140</w:t>
            </w:r>
          </w:p>
        </w:tc>
        <w:tc>
          <w:tcPr>
            <w:tcW w:w="904" w:type="dxa"/>
            <w:vAlign w:val="center"/>
          </w:tcPr>
          <w:p w14:paraId="24ADF4F3" w14:textId="26841AEE" w:rsidR="006250DA" w:rsidRPr="00504436" w:rsidRDefault="002A092D" w:rsidP="006250DA">
            <w:pPr>
              <w:jc w:val="center"/>
              <w:rPr>
                <w:rFonts w:cstheme="minorHAnsi"/>
                <w:sz w:val="18"/>
                <w:szCs w:val="24"/>
              </w:rPr>
            </w:pPr>
            <w:r>
              <w:rPr>
                <w:rFonts w:cstheme="minorHAnsi"/>
                <w:sz w:val="18"/>
                <w:szCs w:val="24"/>
              </w:rPr>
              <w:t>86.42</w:t>
            </w:r>
          </w:p>
        </w:tc>
        <w:tc>
          <w:tcPr>
            <w:tcW w:w="680" w:type="dxa"/>
            <w:vAlign w:val="center"/>
          </w:tcPr>
          <w:p w14:paraId="409AD383" w14:textId="52E6258E" w:rsidR="006250DA" w:rsidRPr="00504436" w:rsidRDefault="002A092D" w:rsidP="006250DA">
            <w:pPr>
              <w:jc w:val="center"/>
              <w:rPr>
                <w:rFonts w:cstheme="minorHAnsi"/>
                <w:sz w:val="18"/>
                <w:szCs w:val="24"/>
              </w:rPr>
            </w:pPr>
            <w:r>
              <w:rPr>
                <w:rFonts w:cstheme="minorHAnsi"/>
                <w:sz w:val="18"/>
                <w:szCs w:val="24"/>
              </w:rPr>
              <w:t>72.14</w:t>
            </w:r>
          </w:p>
        </w:tc>
        <w:tc>
          <w:tcPr>
            <w:tcW w:w="818" w:type="dxa"/>
          </w:tcPr>
          <w:p w14:paraId="3B696D4D" w14:textId="5D9C6FE2" w:rsidR="006250DA" w:rsidRPr="00504436" w:rsidRDefault="002A092D" w:rsidP="006250DA">
            <w:pPr>
              <w:jc w:val="center"/>
              <w:rPr>
                <w:rFonts w:cstheme="minorHAnsi"/>
                <w:sz w:val="18"/>
                <w:szCs w:val="24"/>
              </w:rPr>
            </w:pPr>
            <w:r>
              <w:rPr>
                <w:rFonts w:cstheme="minorHAnsi"/>
                <w:sz w:val="18"/>
                <w:szCs w:val="24"/>
              </w:rPr>
              <w:t>23.57</w:t>
            </w:r>
          </w:p>
        </w:tc>
        <w:tc>
          <w:tcPr>
            <w:tcW w:w="1170" w:type="dxa"/>
            <w:vAlign w:val="center"/>
          </w:tcPr>
          <w:p w14:paraId="0EB11C23" w14:textId="14278B0F" w:rsidR="006250DA" w:rsidRPr="00504436" w:rsidRDefault="002A092D" w:rsidP="006250DA">
            <w:pPr>
              <w:jc w:val="center"/>
              <w:rPr>
                <w:rFonts w:cstheme="minorHAnsi"/>
                <w:sz w:val="18"/>
                <w:szCs w:val="24"/>
              </w:rPr>
            </w:pPr>
            <w:r>
              <w:rPr>
                <w:rFonts w:cstheme="minorHAnsi"/>
                <w:sz w:val="18"/>
                <w:szCs w:val="24"/>
              </w:rPr>
              <w:t>7.79</w:t>
            </w:r>
          </w:p>
        </w:tc>
        <w:tc>
          <w:tcPr>
            <w:tcW w:w="1260" w:type="dxa"/>
            <w:vAlign w:val="center"/>
          </w:tcPr>
          <w:p w14:paraId="3B91327F" w14:textId="411EF539" w:rsidR="006250DA" w:rsidRPr="00504436" w:rsidRDefault="002A092D" w:rsidP="006250DA">
            <w:pPr>
              <w:jc w:val="center"/>
              <w:rPr>
                <w:rFonts w:cstheme="minorHAnsi"/>
                <w:sz w:val="18"/>
                <w:szCs w:val="24"/>
              </w:rPr>
            </w:pPr>
            <w:r>
              <w:rPr>
                <w:rFonts w:cstheme="minorHAnsi"/>
                <w:sz w:val="18"/>
                <w:szCs w:val="24"/>
              </w:rPr>
              <w:t>17.14</w:t>
            </w:r>
          </w:p>
        </w:tc>
        <w:tc>
          <w:tcPr>
            <w:tcW w:w="1170" w:type="dxa"/>
            <w:vAlign w:val="center"/>
          </w:tcPr>
          <w:p w14:paraId="4C4B0C6D" w14:textId="320198E1" w:rsidR="006250DA" w:rsidRPr="00504436" w:rsidRDefault="002A092D" w:rsidP="006250DA">
            <w:pPr>
              <w:jc w:val="center"/>
              <w:rPr>
                <w:rFonts w:cstheme="minorHAnsi"/>
                <w:sz w:val="18"/>
                <w:szCs w:val="24"/>
              </w:rPr>
            </w:pPr>
            <w:r>
              <w:rPr>
                <w:rFonts w:cstheme="minorHAnsi"/>
                <w:sz w:val="18"/>
                <w:szCs w:val="24"/>
              </w:rPr>
              <w:t>-0.620</w:t>
            </w:r>
          </w:p>
        </w:tc>
        <w:tc>
          <w:tcPr>
            <w:tcW w:w="1170" w:type="dxa"/>
            <w:vAlign w:val="center"/>
          </w:tcPr>
          <w:p w14:paraId="762886B7" w14:textId="178DFFDD" w:rsidR="006250DA" w:rsidRPr="00504436" w:rsidRDefault="002A092D" w:rsidP="006250DA">
            <w:pPr>
              <w:jc w:val="center"/>
              <w:rPr>
                <w:rFonts w:cstheme="minorHAnsi"/>
                <w:sz w:val="18"/>
                <w:szCs w:val="24"/>
              </w:rPr>
            </w:pPr>
            <w:r>
              <w:rPr>
                <w:rFonts w:cstheme="minorHAnsi"/>
                <w:sz w:val="18"/>
                <w:szCs w:val="24"/>
              </w:rPr>
              <w:t>-0.677</w:t>
            </w:r>
          </w:p>
        </w:tc>
      </w:tr>
      <w:tr w:rsidR="006250DA" w14:paraId="20261A77" w14:textId="77777777" w:rsidTr="006250DA">
        <w:tc>
          <w:tcPr>
            <w:tcW w:w="1326" w:type="dxa"/>
            <w:vAlign w:val="center"/>
          </w:tcPr>
          <w:p w14:paraId="1FD7A8C7" w14:textId="14E85690" w:rsidR="006250DA" w:rsidRPr="00DC1D9D" w:rsidRDefault="006250DA" w:rsidP="006250DA">
            <w:pPr>
              <w:jc w:val="right"/>
              <w:rPr>
                <w:rFonts w:cstheme="minorHAnsi"/>
                <w:sz w:val="18"/>
                <w:szCs w:val="24"/>
              </w:rPr>
            </w:pPr>
            <w:r>
              <w:rPr>
                <w:rFonts w:cstheme="minorHAnsi"/>
                <w:sz w:val="18"/>
                <w:szCs w:val="24"/>
              </w:rPr>
              <w:t>Matched</w:t>
            </w:r>
          </w:p>
        </w:tc>
        <w:tc>
          <w:tcPr>
            <w:tcW w:w="862" w:type="dxa"/>
            <w:vAlign w:val="center"/>
          </w:tcPr>
          <w:p w14:paraId="2F7297E3" w14:textId="696469E9" w:rsidR="006250DA" w:rsidRPr="00504436" w:rsidRDefault="002A092D" w:rsidP="006250DA">
            <w:pPr>
              <w:jc w:val="center"/>
              <w:rPr>
                <w:rFonts w:cstheme="minorHAnsi"/>
                <w:sz w:val="18"/>
                <w:szCs w:val="24"/>
              </w:rPr>
            </w:pPr>
            <w:r>
              <w:rPr>
                <w:rFonts w:cstheme="minorHAnsi"/>
                <w:sz w:val="18"/>
                <w:szCs w:val="24"/>
              </w:rPr>
              <w:t>608</w:t>
            </w:r>
          </w:p>
        </w:tc>
        <w:tc>
          <w:tcPr>
            <w:tcW w:w="904" w:type="dxa"/>
            <w:vAlign w:val="center"/>
          </w:tcPr>
          <w:p w14:paraId="5A399EC7" w14:textId="0124EB57" w:rsidR="006250DA" w:rsidRPr="00504436" w:rsidRDefault="002A092D" w:rsidP="006250DA">
            <w:pPr>
              <w:jc w:val="center"/>
              <w:rPr>
                <w:rFonts w:cstheme="minorHAnsi"/>
                <w:sz w:val="18"/>
                <w:szCs w:val="24"/>
              </w:rPr>
            </w:pPr>
            <w:r>
              <w:rPr>
                <w:rFonts w:cstheme="minorHAnsi"/>
                <w:sz w:val="18"/>
                <w:szCs w:val="24"/>
              </w:rPr>
              <w:t>87.17</w:t>
            </w:r>
          </w:p>
        </w:tc>
        <w:tc>
          <w:tcPr>
            <w:tcW w:w="680" w:type="dxa"/>
            <w:vAlign w:val="center"/>
          </w:tcPr>
          <w:p w14:paraId="6F8D24C9" w14:textId="0085CC7B" w:rsidR="006250DA" w:rsidRPr="00504436" w:rsidRDefault="002A092D" w:rsidP="006250DA">
            <w:pPr>
              <w:jc w:val="center"/>
              <w:rPr>
                <w:rFonts w:cstheme="minorHAnsi"/>
                <w:sz w:val="18"/>
                <w:szCs w:val="24"/>
              </w:rPr>
            </w:pPr>
            <w:r>
              <w:rPr>
                <w:rFonts w:cstheme="minorHAnsi"/>
                <w:sz w:val="18"/>
                <w:szCs w:val="24"/>
              </w:rPr>
              <w:t>70.72</w:t>
            </w:r>
          </w:p>
        </w:tc>
        <w:tc>
          <w:tcPr>
            <w:tcW w:w="818" w:type="dxa"/>
          </w:tcPr>
          <w:p w14:paraId="61891742" w14:textId="14959F4D" w:rsidR="006250DA" w:rsidRPr="00504436" w:rsidRDefault="002A092D" w:rsidP="006250DA">
            <w:pPr>
              <w:jc w:val="center"/>
              <w:rPr>
                <w:rFonts w:cstheme="minorHAnsi"/>
                <w:sz w:val="18"/>
                <w:szCs w:val="24"/>
              </w:rPr>
            </w:pPr>
            <w:r>
              <w:rPr>
                <w:rFonts w:cstheme="minorHAnsi"/>
                <w:sz w:val="18"/>
                <w:szCs w:val="24"/>
              </w:rPr>
              <w:t>24.01</w:t>
            </w:r>
          </w:p>
        </w:tc>
        <w:tc>
          <w:tcPr>
            <w:tcW w:w="1170" w:type="dxa"/>
            <w:vAlign w:val="center"/>
          </w:tcPr>
          <w:p w14:paraId="14C933D3" w14:textId="40DF2550" w:rsidR="006250DA" w:rsidRPr="00504436" w:rsidRDefault="002A092D" w:rsidP="006250DA">
            <w:pPr>
              <w:jc w:val="center"/>
              <w:rPr>
                <w:rFonts w:cstheme="minorHAnsi"/>
                <w:sz w:val="18"/>
                <w:szCs w:val="24"/>
              </w:rPr>
            </w:pPr>
            <w:r>
              <w:rPr>
                <w:rFonts w:cstheme="minorHAnsi"/>
                <w:sz w:val="18"/>
                <w:szCs w:val="24"/>
              </w:rPr>
              <w:t>9.04</w:t>
            </w:r>
          </w:p>
        </w:tc>
        <w:tc>
          <w:tcPr>
            <w:tcW w:w="1260" w:type="dxa"/>
            <w:vAlign w:val="center"/>
          </w:tcPr>
          <w:p w14:paraId="05D5E26C" w14:textId="782ECB48" w:rsidR="006250DA" w:rsidRPr="00504436" w:rsidRDefault="002A092D" w:rsidP="006250DA">
            <w:pPr>
              <w:jc w:val="center"/>
              <w:rPr>
                <w:rFonts w:cstheme="minorHAnsi"/>
                <w:sz w:val="18"/>
                <w:szCs w:val="24"/>
              </w:rPr>
            </w:pPr>
            <w:r>
              <w:rPr>
                <w:rFonts w:cstheme="minorHAnsi"/>
                <w:sz w:val="18"/>
                <w:szCs w:val="24"/>
              </w:rPr>
              <w:t>17.43</w:t>
            </w:r>
          </w:p>
        </w:tc>
        <w:tc>
          <w:tcPr>
            <w:tcW w:w="1170" w:type="dxa"/>
            <w:vAlign w:val="center"/>
          </w:tcPr>
          <w:p w14:paraId="795C089F" w14:textId="10A8868C" w:rsidR="006250DA" w:rsidRPr="00504436" w:rsidRDefault="002A092D" w:rsidP="006250DA">
            <w:pPr>
              <w:jc w:val="center"/>
              <w:rPr>
                <w:rFonts w:cstheme="minorHAnsi"/>
                <w:sz w:val="18"/>
                <w:szCs w:val="24"/>
              </w:rPr>
            </w:pPr>
            <w:r>
              <w:rPr>
                <w:rFonts w:cstheme="minorHAnsi"/>
                <w:sz w:val="18"/>
                <w:szCs w:val="24"/>
              </w:rPr>
              <w:t>-0.558</w:t>
            </w:r>
          </w:p>
        </w:tc>
        <w:tc>
          <w:tcPr>
            <w:tcW w:w="1170" w:type="dxa"/>
            <w:vAlign w:val="center"/>
          </w:tcPr>
          <w:p w14:paraId="5AC3AF3A" w14:textId="53931AA7" w:rsidR="006250DA" w:rsidRPr="00504436" w:rsidRDefault="002A092D" w:rsidP="006250DA">
            <w:pPr>
              <w:jc w:val="center"/>
              <w:rPr>
                <w:rFonts w:cstheme="minorHAnsi"/>
                <w:sz w:val="18"/>
                <w:szCs w:val="24"/>
              </w:rPr>
            </w:pPr>
            <w:r>
              <w:rPr>
                <w:rFonts w:cstheme="minorHAnsi"/>
                <w:sz w:val="18"/>
                <w:szCs w:val="24"/>
              </w:rPr>
              <w:t>-0.609</w:t>
            </w:r>
          </w:p>
        </w:tc>
      </w:tr>
      <w:tr w:rsidR="006250DA" w14:paraId="450706D8" w14:textId="77777777" w:rsidTr="006250DA">
        <w:tc>
          <w:tcPr>
            <w:tcW w:w="9360" w:type="dxa"/>
            <w:gridSpan w:val="9"/>
            <w:vAlign w:val="center"/>
          </w:tcPr>
          <w:p w14:paraId="70D20B43" w14:textId="54AC812C" w:rsidR="006250DA" w:rsidRPr="006250DA" w:rsidRDefault="006250DA" w:rsidP="006250DA">
            <w:pPr>
              <w:jc w:val="center"/>
              <w:rPr>
                <w:rFonts w:cstheme="minorHAnsi"/>
                <w:i/>
                <w:iCs/>
                <w:sz w:val="18"/>
                <w:szCs w:val="20"/>
              </w:rPr>
            </w:pPr>
            <w:r>
              <w:rPr>
                <w:rFonts w:cstheme="minorHAnsi"/>
                <w:i/>
                <w:iCs/>
                <w:sz w:val="18"/>
                <w:szCs w:val="20"/>
              </w:rPr>
              <w:t>5</w:t>
            </w:r>
            <w:r w:rsidRPr="006250DA">
              <w:rPr>
                <w:rFonts w:cstheme="minorHAnsi"/>
                <w:i/>
                <w:iCs/>
                <w:sz w:val="18"/>
                <w:szCs w:val="20"/>
                <w:vertAlign w:val="superscript"/>
              </w:rPr>
              <w:t>th</w:t>
            </w:r>
            <w:r>
              <w:rPr>
                <w:rFonts w:cstheme="minorHAnsi"/>
                <w:i/>
                <w:iCs/>
                <w:sz w:val="18"/>
                <w:szCs w:val="20"/>
              </w:rPr>
              <w:t xml:space="preserve"> Grade</w:t>
            </w:r>
          </w:p>
        </w:tc>
      </w:tr>
      <w:tr w:rsidR="006250DA" w14:paraId="21E5AA3B" w14:textId="77777777" w:rsidTr="006250DA">
        <w:tc>
          <w:tcPr>
            <w:tcW w:w="1326" w:type="dxa"/>
            <w:vAlign w:val="center"/>
          </w:tcPr>
          <w:p w14:paraId="399E6FE6" w14:textId="5ACBABE9" w:rsidR="006250DA" w:rsidRPr="00DC1D9D" w:rsidRDefault="006250DA" w:rsidP="006250DA">
            <w:pPr>
              <w:jc w:val="right"/>
              <w:rPr>
                <w:rFonts w:cstheme="minorHAnsi"/>
                <w:sz w:val="18"/>
                <w:szCs w:val="24"/>
              </w:rPr>
            </w:pPr>
            <w:r>
              <w:rPr>
                <w:rFonts w:cstheme="minorHAnsi"/>
                <w:sz w:val="18"/>
                <w:szCs w:val="24"/>
              </w:rPr>
              <w:t>All Students</w:t>
            </w:r>
          </w:p>
        </w:tc>
        <w:tc>
          <w:tcPr>
            <w:tcW w:w="862" w:type="dxa"/>
            <w:vAlign w:val="center"/>
          </w:tcPr>
          <w:p w14:paraId="0E37A5D2" w14:textId="7BF1148A" w:rsidR="006250DA" w:rsidRPr="00504436" w:rsidRDefault="00332765" w:rsidP="006250DA">
            <w:pPr>
              <w:jc w:val="center"/>
              <w:rPr>
                <w:rFonts w:cstheme="minorHAnsi"/>
                <w:sz w:val="18"/>
                <w:szCs w:val="24"/>
              </w:rPr>
            </w:pPr>
            <w:r>
              <w:rPr>
                <w:rFonts w:cstheme="minorHAnsi"/>
                <w:sz w:val="18"/>
                <w:szCs w:val="24"/>
              </w:rPr>
              <w:t>124,916</w:t>
            </w:r>
          </w:p>
        </w:tc>
        <w:tc>
          <w:tcPr>
            <w:tcW w:w="904" w:type="dxa"/>
            <w:vAlign w:val="center"/>
          </w:tcPr>
          <w:p w14:paraId="07E125E9" w14:textId="6FEB523D" w:rsidR="006250DA" w:rsidRPr="00504436" w:rsidRDefault="00332765" w:rsidP="006250DA">
            <w:pPr>
              <w:jc w:val="center"/>
              <w:rPr>
                <w:rFonts w:cstheme="minorHAnsi"/>
                <w:sz w:val="18"/>
                <w:szCs w:val="24"/>
              </w:rPr>
            </w:pPr>
            <w:r>
              <w:rPr>
                <w:rFonts w:cstheme="minorHAnsi"/>
                <w:sz w:val="18"/>
                <w:szCs w:val="24"/>
              </w:rPr>
              <w:t>53.94</w:t>
            </w:r>
          </w:p>
        </w:tc>
        <w:tc>
          <w:tcPr>
            <w:tcW w:w="680" w:type="dxa"/>
            <w:vAlign w:val="center"/>
          </w:tcPr>
          <w:p w14:paraId="63780D18" w14:textId="56CBF16B" w:rsidR="006250DA" w:rsidRPr="00504436" w:rsidRDefault="00332765" w:rsidP="006250DA">
            <w:pPr>
              <w:jc w:val="center"/>
              <w:rPr>
                <w:rFonts w:cstheme="minorHAnsi"/>
                <w:sz w:val="18"/>
                <w:szCs w:val="24"/>
              </w:rPr>
            </w:pPr>
            <w:r>
              <w:rPr>
                <w:rFonts w:cstheme="minorHAnsi"/>
                <w:sz w:val="18"/>
                <w:szCs w:val="24"/>
              </w:rPr>
              <w:t>46.56</w:t>
            </w:r>
          </w:p>
        </w:tc>
        <w:tc>
          <w:tcPr>
            <w:tcW w:w="818" w:type="dxa"/>
          </w:tcPr>
          <w:p w14:paraId="69FF158F" w14:textId="2411FED3" w:rsidR="006250DA" w:rsidRPr="00504436" w:rsidRDefault="00332765" w:rsidP="006250DA">
            <w:pPr>
              <w:jc w:val="center"/>
              <w:rPr>
                <w:rFonts w:cstheme="minorHAnsi"/>
                <w:sz w:val="18"/>
                <w:szCs w:val="24"/>
              </w:rPr>
            </w:pPr>
            <w:r>
              <w:rPr>
                <w:rFonts w:cstheme="minorHAnsi"/>
                <w:sz w:val="18"/>
                <w:szCs w:val="24"/>
              </w:rPr>
              <w:t>15.39</w:t>
            </w:r>
          </w:p>
        </w:tc>
        <w:tc>
          <w:tcPr>
            <w:tcW w:w="1170" w:type="dxa"/>
            <w:vAlign w:val="center"/>
          </w:tcPr>
          <w:p w14:paraId="0F9B4D6E" w14:textId="4E9AC53D" w:rsidR="006250DA" w:rsidRPr="00504436" w:rsidRDefault="00332765" w:rsidP="006250DA">
            <w:pPr>
              <w:jc w:val="center"/>
              <w:rPr>
                <w:rFonts w:cstheme="minorHAnsi"/>
                <w:sz w:val="18"/>
                <w:szCs w:val="24"/>
              </w:rPr>
            </w:pPr>
            <w:r>
              <w:rPr>
                <w:rFonts w:cstheme="minorHAnsi"/>
                <w:sz w:val="18"/>
                <w:szCs w:val="24"/>
              </w:rPr>
              <w:t>7.61</w:t>
            </w:r>
          </w:p>
        </w:tc>
        <w:tc>
          <w:tcPr>
            <w:tcW w:w="1260" w:type="dxa"/>
            <w:vAlign w:val="center"/>
          </w:tcPr>
          <w:p w14:paraId="53F6242A" w14:textId="5517036E" w:rsidR="006250DA" w:rsidRPr="00504436" w:rsidRDefault="00332765" w:rsidP="006250DA">
            <w:pPr>
              <w:jc w:val="center"/>
              <w:rPr>
                <w:rFonts w:cstheme="minorHAnsi"/>
                <w:sz w:val="18"/>
                <w:szCs w:val="24"/>
              </w:rPr>
            </w:pPr>
            <w:r>
              <w:rPr>
                <w:rFonts w:cstheme="minorHAnsi"/>
                <w:sz w:val="18"/>
                <w:szCs w:val="24"/>
              </w:rPr>
              <w:t>8.10</w:t>
            </w:r>
          </w:p>
        </w:tc>
        <w:tc>
          <w:tcPr>
            <w:tcW w:w="1170" w:type="dxa"/>
            <w:vAlign w:val="center"/>
          </w:tcPr>
          <w:p w14:paraId="24D649BC" w14:textId="3A23D28E" w:rsidR="006250DA" w:rsidRPr="00504436" w:rsidRDefault="00332765" w:rsidP="006250DA">
            <w:pPr>
              <w:jc w:val="center"/>
              <w:rPr>
                <w:rFonts w:cstheme="minorHAnsi"/>
                <w:sz w:val="18"/>
                <w:szCs w:val="24"/>
              </w:rPr>
            </w:pPr>
            <w:r>
              <w:rPr>
                <w:rFonts w:cstheme="minorHAnsi"/>
                <w:sz w:val="18"/>
                <w:szCs w:val="24"/>
              </w:rPr>
              <w:t>0.007</w:t>
            </w:r>
          </w:p>
        </w:tc>
        <w:tc>
          <w:tcPr>
            <w:tcW w:w="1170" w:type="dxa"/>
            <w:vAlign w:val="center"/>
          </w:tcPr>
          <w:p w14:paraId="4BD7690B" w14:textId="5A90DD83" w:rsidR="006250DA" w:rsidRPr="00504436" w:rsidRDefault="00332765" w:rsidP="006250DA">
            <w:pPr>
              <w:jc w:val="center"/>
              <w:rPr>
                <w:rFonts w:cstheme="minorHAnsi"/>
                <w:sz w:val="18"/>
                <w:szCs w:val="24"/>
              </w:rPr>
            </w:pPr>
            <w:r>
              <w:rPr>
                <w:rFonts w:cstheme="minorHAnsi"/>
                <w:sz w:val="18"/>
                <w:szCs w:val="24"/>
              </w:rPr>
              <w:t>0.009</w:t>
            </w:r>
          </w:p>
        </w:tc>
      </w:tr>
      <w:tr w:rsidR="006250DA" w14:paraId="59449FAC" w14:textId="77777777" w:rsidTr="006250DA">
        <w:tc>
          <w:tcPr>
            <w:tcW w:w="1326" w:type="dxa"/>
            <w:vAlign w:val="center"/>
          </w:tcPr>
          <w:p w14:paraId="02C06E1B" w14:textId="528EF2C5" w:rsidR="006250DA" w:rsidRPr="00DC1D9D" w:rsidRDefault="006250DA" w:rsidP="006250DA">
            <w:pPr>
              <w:jc w:val="right"/>
              <w:rPr>
                <w:rFonts w:cstheme="minorHAnsi"/>
                <w:sz w:val="18"/>
                <w:szCs w:val="24"/>
              </w:rPr>
            </w:pPr>
            <w:r>
              <w:rPr>
                <w:rFonts w:cstheme="minorHAnsi"/>
                <w:sz w:val="18"/>
                <w:szCs w:val="24"/>
              </w:rPr>
              <w:t>Lab Schools</w:t>
            </w:r>
          </w:p>
        </w:tc>
        <w:tc>
          <w:tcPr>
            <w:tcW w:w="862" w:type="dxa"/>
            <w:vAlign w:val="center"/>
          </w:tcPr>
          <w:p w14:paraId="2B4CBF07" w14:textId="4D7B335A" w:rsidR="006250DA" w:rsidRPr="00504436" w:rsidRDefault="0013252D" w:rsidP="006250DA">
            <w:pPr>
              <w:jc w:val="center"/>
              <w:rPr>
                <w:rFonts w:cstheme="minorHAnsi"/>
                <w:sz w:val="18"/>
                <w:szCs w:val="24"/>
              </w:rPr>
            </w:pPr>
            <w:r>
              <w:rPr>
                <w:rFonts w:cstheme="minorHAnsi"/>
                <w:sz w:val="18"/>
                <w:szCs w:val="24"/>
              </w:rPr>
              <w:t>137</w:t>
            </w:r>
          </w:p>
        </w:tc>
        <w:tc>
          <w:tcPr>
            <w:tcW w:w="904" w:type="dxa"/>
            <w:vAlign w:val="center"/>
          </w:tcPr>
          <w:p w14:paraId="3A493262" w14:textId="5E7E4213" w:rsidR="006250DA" w:rsidRPr="00504436" w:rsidRDefault="0013252D" w:rsidP="006250DA">
            <w:pPr>
              <w:jc w:val="center"/>
              <w:rPr>
                <w:rFonts w:cstheme="minorHAnsi"/>
                <w:sz w:val="18"/>
                <w:szCs w:val="24"/>
              </w:rPr>
            </w:pPr>
            <w:r>
              <w:rPr>
                <w:rFonts w:cstheme="minorHAnsi"/>
                <w:sz w:val="18"/>
                <w:szCs w:val="24"/>
              </w:rPr>
              <w:t>87.59</w:t>
            </w:r>
          </w:p>
        </w:tc>
        <w:tc>
          <w:tcPr>
            <w:tcW w:w="680" w:type="dxa"/>
            <w:vAlign w:val="center"/>
          </w:tcPr>
          <w:p w14:paraId="251EA4FB" w14:textId="5A618EBC" w:rsidR="006250DA" w:rsidRPr="00504436" w:rsidRDefault="0013252D" w:rsidP="006250DA">
            <w:pPr>
              <w:jc w:val="center"/>
              <w:rPr>
                <w:rFonts w:cstheme="minorHAnsi"/>
                <w:sz w:val="18"/>
                <w:szCs w:val="24"/>
              </w:rPr>
            </w:pPr>
            <w:r>
              <w:rPr>
                <w:rFonts w:cstheme="minorHAnsi"/>
                <w:sz w:val="18"/>
                <w:szCs w:val="24"/>
              </w:rPr>
              <w:t>63.50</w:t>
            </w:r>
          </w:p>
        </w:tc>
        <w:tc>
          <w:tcPr>
            <w:tcW w:w="818" w:type="dxa"/>
          </w:tcPr>
          <w:p w14:paraId="4985FEC8" w14:textId="18C1BC8C" w:rsidR="006250DA" w:rsidRPr="00504436" w:rsidRDefault="0013252D" w:rsidP="006250DA">
            <w:pPr>
              <w:jc w:val="center"/>
              <w:rPr>
                <w:rFonts w:cstheme="minorHAnsi"/>
                <w:sz w:val="18"/>
                <w:szCs w:val="24"/>
              </w:rPr>
            </w:pPr>
            <w:r>
              <w:rPr>
                <w:rFonts w:cstheme="minorHAnsi"/>
                <w:sz w:val="18"/>
                <w:szCs w:val="24"/>
              </w:rPr>
              <w:t>18.25</w:t>
            </w:r>
          </w:p>
        </w:tc>
        <w:tc>
          <w:tcPr>
            <w:tcW w:w="1170" w:type="dxa"/>
            <w:vAlign w:val="center"/>
          </w:tcPr>
          <w:p w14:paraId="23AC00AF" w14:textId="7E704DB1" w:rsidR="006250DA" w:rsidRPr="00504436" w:rsidRDefault="0013252D" w:rsidP="006250DA">
            <w:pPr>
              <w:jc w:val="center"/>
              <w:rPr>
                <w:rFonts w:cstheme="minorHAnsi"/>
                <w:sz w:val="18"/>
                <w:szCs w:val="24"/>
              </w:rPr>
            </w:pPr>
            <w:r>
              <w:rPr>
                <w:rFonts w:cstheme="minorHAnsi"/>
                <w:sz w:val="18"/>
                <w:szCs w:val="24"/>
              </w:rPr>
              <w:t>8.11</w:t>
            </w:r>
          </w:p>
        </w:tc>
        <w:tc>
          <w:tcPr>
            <w:tcW w:w="1260" w:type="dxa"/>
            <w:vAlign w:val="center"/>
          </w:tcPr>
          <w:p w14:paraId="18A308B4" w14:textId="6B2BBA63" w:rsidR="006250DA" w:rsidRPr="00504436" w:rsidRDefault="0013252D" w:rsidP="006250DA">
            <w:pPr>
              <w:jc w:val="center"/>
              <w:rPr>
                <w:rFonts w:cstheme="minorHAnsi"/>
                <w:sz w:val="18"/>
                <w:szCs w:val="24"/>
              </w:rPr>
            </w:pPr>
            <w:r>
              <w:rPr>
                <w:rFonts w:cstheme="minorHAnsi"/>
                <w:sz w:val="18"/>
                <w:szCs w:val="24"/>
              </w:rPr>
              <w:t>25.55</w:t>
            </w:r>
          </w:p>
        </w:tc>
        <w:tc>
          <w:tcPr>
            <w:tcW w:w="1170" w:type="dxa"/>
            <w:vAlign w:val="center"/>
          </w:tcPr>
          <w:p w14:paraId="41918DAC" w14:textId="2BB2572A" w:rsidR="006250DA" w:rsidRPr="00504436" w:rsidRDefault="0013252D" w:rsidP="006250DA">
            <w:pPr>
              <w:jc w:val="center"/>
              <w:rPr>
                <w:rFonts w:cstheme="minorHAnsi"/>
                <w:sz w:val="18"/>
                <w:szCs w:val="24"/>
              </w:rPr>
            </w:pPr>
            <w:r>
              <w:rPr>
                <w:rFonts w:cstheme="minorHAnsi"/>
                <w:sz w:val="18"/>
                <w:szCs w:val="24"/>
              </w:rPr>
              <w:t>-0.785</w:t>
            </w:r>
          </w:p>
        </w:tc>
        <w:tc>
          <w:tcPr>
            <w:tcW w:w="1170" w:type="dxa"/>
            <w:vAlign w:val="center"/>
          </w:tcPr>
          <w:p w14:paraId="07F4E6BD" w14:textId="3F536AE3" w:rsidR="006250DA" w:rsidRPr="00504436" w:rsidRDefault="0013252D" w:rsidP="006250DA">
            <w:pPr>
              <w:jc w:val="center"/>
              <w:rPr>
                <w:rFonts w:cstheme="minorHAnsi"/>
                <w:sz w:val="18"/>
                <w:szCs w:val="24"/>
              </w:rPr>
            </w:pPr>
            <w:r>
              <w:rPr>
                <w:rFonts w:cstheme="minorHAnsi"/>
                <w:sz w:val="18"/>
                <w:szCs w:val="24"/>
              </w:rPr>
              <w:t>-0.695</w:t>
            </w:r>
          </w:p>
        </w:tc>
      </w:tr>
      <w:tr w:rsidR="006250DA" w14:paraId="3FCFE85F" w14:textId="77777777" w:rsidTr="006250DA">
        <w:tc>
          <w:tcPr>
            <w:tcW w:w="1326" w:type="dxa"/>
            <w:vAlign w:val="center"/>
          </w:tcPr>
          <w:p w14:paraId="38AE8079" w14:textId="51044356" w:rsidR="006250DA" w:rsidRPr="00DC1D9D" w:rsidRDefault="006250DA" w:rsidP="006250DA">
            <w:pPr>
              <w:jc w:val="right"/>
              <w:rPr>
                <w:rFonts w:cstheme="minorHAnsi"/>
                <w:sz w:val="18"/>
                <w:szCs w:val="24"/>
              </w:rPr>
            </w:pPr>
            <w:r>
              <w:rPr>
                <w:rFonts w:cstheme="minorHAnsi"/>
                <w:sz w:val="18"/>
                <w:szCs w:val="24"/>
              </w:rPr>
              <w:t>Matched</w:t>
            </w:r>
          </w:p>
        </w:tc>
        <w:tc>
          <w:tcPr>
            <w:tcW w:w="862" w:type="dxa"/>
            <w:vAlign w:val="center"/>
          </w:tcPr>
          <w:p w14:paraId="19836685" w14:textId="2CA88734" w:rsidR="006250DA" w:rsidRPr="00504436" w:rsidRDefault="0013252D" w:rsidP="006250DA">
            <w:pPr>
              <w:jc w:val="center"/>
              <w:rPr>
                <w:rFonts w:cstheme="minorHAnsi"/>
                <w:sz w:val="18"/>
                <w:szCs w:val="24"/>
              </w:rPr>
            </w:pPr>
            <w:r>
              <w:rPr>
                <w:rFonts w:cstheme="minorHAnsi"/>
                <w:sz w:val="18"/>
                <w:szCs w:val="24"/>
              </w:rPr>
              <w:t>612</w:t>
            </w:r>
          </w:p>
        </w:tc>
        <w:tc>
          <w:tcPr>
            <w:tcW w:w="904" w:type="dxa"/>
            <w:vAlign w:val="center"/>
          </w:tcPr>
          <w:p w14:paraId="6100B782" w14:textId="69DAE858" w:rsidR="006250DA" w:rsidRPr="00504436" w:rsidRDefault="0013252D" w:rsidP="006250DA">
            <w:pPr>
              <w:jc w:val="center"/>
              <w:rPr>
                <w:rFonts w:cstheme="minorHAnsi"/>
                <w:sz w:val="18"/>
                <w:szCs w:val="24"/>
              </w:rPr>
            </w:pPr>
            <w:r>
              <w:rPr>
                <w:rFonts w:cstheme="minorHAnsi"/>
                <w:sz w:val="18"/>
                <w:szCs w:val="24"/>
              </w:rPr>
              <w:t>85.46</w:t>
            </w:r>
          </w:p>
        </w:tc>
        <w:tc>
          <w:tcPr>
            <w:tcW w:w="680" w:type="dxa"/>
            <w:vAlign w:val="center"/>
          </w:tcPr>
          <w:p w14:paraId="738CE318" w14:textId="1C4F9B06" w:rsidR="006250DA" w:rsidRPr="00504436" w:rsidRDefault="0013252D" w:rsidP="006250DA">
            <w:pPr>
              <w:jc w:val="center"/>
              <w:rPr>
                <w:rFonts w:cstheme="minorHAnsi"/>
                <w:sz w:val="18"/>
                <w:szCs w:val="24"/>
              </w:rPr>
            </w:pPr>
            <w:r>
              <w:rPr>
                <w:rFonts w:cstheme="minorHAnsi"/>
                <w:sz w:val="18"/>
                <w:szCs w:val="24"/>
              </w:rPr>
              <w:t>68.63</w:t>
            </w:r>
          </w:p>
        </w:tc>
        <w:tc>
          <w:tcPr>
            <w:tcW w:w="818" w:type="dxa"/>
          </w:tcPr>
          <w:p w14:paraId="7B4A2C30" w14:textId="69987B5D" w:rsidR="006250DA" w:rsidRPr="00504436" w:rsidRDefault="0013252D" w:rsidP="006250DA">
            <w:pPr>
              <w:jc w:val="center"/>
              <w:rPr>
                <w:rFonts w:cstheme="minorHAnsi"/>
                <w:sz w:val="18"/>
                <w:szCs w:val="24"/>
              </w:rPr>
            </w:pPr>
            <w:r>
              <w:rPr>
                <w:rFonts w:cstheme="minorHAnsi"/>
                <w:sz w:val="18"/>
                <w:szCs w:val="24"/>
              </w:rPr>
              <w:t>18.46</w:t>
            </w:r>
          </w:p>
        </w:tc>
        <w:tc>
          <w:tcPr>
            <w:tcW w:w="1170" w:type="dxa"/>
            <w:vAlign w:val="center"/>
          </w:tcPr>
          <w:p w14:paraId="7EF10CFF" w14:textId="488B73F1" w:rsidR="006250DA" w:rsidRPr="00504436" w:rsidRDefault="0013252D" w:rsidP="006250DA">
            <w:pPr>
              <w:jc w:val="center"/>
              <w:rPr>
                <w:rFonts w:cstheme="minorHAnsi"/>
                <w:sz w:val="18"/>
                <w:szCs w:val="24"/>
              </w:rPr>
            </w:pPr>
            <w:r>
              <w:rPr>
                <w:rFonts w:cstheme="minorHAnsi"/>
                <w:sz w:val="18"/>
                <w:szCs w:val="24"/>
              </w:rPr>
              <w:t>8.88</w:t>
            </w:r>
          </w:p>
        </w:tc>
        <w:tc>
          <w:tcPr>
            <w:tcW w:w="1260" w:type="dxa"/>
            <w:vAlign w:val="center"/>
          </w:tcPr>
          <w:p w14:paraId="008C8774" w14:textId="670ACDF7" w:rsidR="006250DA" w:rsidRPr="00504436" w:rsidRDefault="0013252D" w:rsidP="006250DA">
            <w:pPr>
              <w:jc w:val="center"/>
              <w:rPr>
                <w:rFonts w:cstheme="minorHAnsi"/>
                <w:sz w:val="18"/>
                <w:szCs w:val="24"/>
              </w:rPr>
            </w:pPr>
            <w:r>
              <w:rPr>
                <w:rFonts w:cstheme="minorHAnsi"/>
                <w:sz w:val="18"/>
                <w:szCs w:val="24"/>
              </w:rPr>
              <w:t>25.33</w:t>
            </w:r>
          </w:p>
        </w:tc>
        <w:tc>
          <w:tcPr>
            <w:tcW w:w="1170" w:type="dxa"/>
            <w:vAlign w:val="center"/>
          </w:tcPr>
          <w:p w14:paraId="2A352783" w14:textId="38DFAF2D" w:rsidR="006250DA" w:rsidRPr="00504436" w:rsidRDefault="0013252D" w:rsidP="006250DA">
            <w:pPr>
              <w:jc w:val="center"/>
              <w:rPr>
                <w:rFonts w:cstheme="minorHAnsi"/>
                <w:sz w:val="18"/>
                <w:szCs w:val="24"/>
              </w:rPr>
            </w:pPr>
            <w:r>
              <w:rPr>
                <w:rFonts w:cstheme="minorHAnsi"/>
                <w:sz w:val="18"/>
                <w:szCs w:val="24"/>
              </w:rPr>
              <w:t>-0.706</w:t>
            </w:r>
          </w:p>
        </w:tc>
        <w:tc>
          <w:tcPr>
            <w:tcW w:w="1170" w:type="dxa"/>
            <w:vAlign w:val="center"/>
          </w:tcPr>
          <w:p w14:paraId="5439932C" w14:textId="65FD36AE" w:rsidR="006250DA" w:rsidRPr="00504436" w:rsidRDefault="0013252D" w:rsidP="006250DA">
            <w:pPr>
              <w:jc w:val="center"/>
              <w:rPr>
                <w:rFonts w:cstheme="minorHAnsi"/>
                <w:sz w:val="18"/>
                <w:szCs w:val="24"/>
              </w:rPr>
            </w:pPr>
            <w:r>
              <w:rPr>
                <w:rFonts w:cstheme="minorHAnsi"/>
                <w:sz w:val="18"/>
                <w:szCs w:val="24"/>
              </w:rPr>
              <w:t>-0.645</w:t>
            </w:r>
          </w:p>
        </w:tc>
      </w:tr>
      <w:tr w:rsidR="006250DA" w14:paraId="1695D713" w14:textId="77777777" w:rsidTr="006250DA">
        <w:tc>
          <w:tcPr>
            <w:tcW w:w="9360" w:type="dxa"/>
            <w:gridSpan w:val="9"/>
            <w:vAlign w:val="center"/>
          </w:tcPr>
          <w:p w14:paraId="16B41BA9" w14:textId="21F21D4B" w:rsidR="006250DA" w:rsidRPr="006250DA" w:rsidRDefault="006250DA" w:rsidP="006250DA">
            <w:pPr>
              <w:jc w:val="center"/>
              <w:rPr>
                <w:rFonts w:cstheme="minorHAnsi"/>
                <w:i/>
                <w:iCs/>
                <w:sz w:val="18"/>
                <w:szCs w:val="24"/>
              </w:rPr>
            </w:pPr>
            <w:r>
              <w:rPr>
                <w:rFonts w:cstheme="minorHAnsi"/>
                <w:i/>
                <w:iCs/>
                <w:sz w:val="18"/>
                <w:szCs w:val="24"/>
              </w:rPr>
              <w:t>6</w:t>
            </w:r>
            <w:r w:rsidRPr="006250DA">
              <w:rPr>
                <w:rFonts w:cstheme="minorHAnsi"/>
                <w:i/>
                <w:iCs/>
                <w:sz w:val="18"/>
                <w:szCs w:val="24"/>
                <w:vertAlign w:val="superscript"/>
              </w:rPr>
              <w:t>th</w:t>
            </w:r>
            <w:r>
              <w:rPr>
                <w:rFonts w:cstheme="minorHAnsi"/>
                <w:i/>
                <w:iCs/>
                <w:sz w:val="18"/>
                <w:szCs w:val="24"/>
              </w:rPr>
              <w:t xml:space="preserve"> Grade</w:t>
            </w:r>
          </w:p>
        </w:tc>
      </w:tr>
      <w:tr w:rsidR="006250DA" w14:paraId="5449B07B" w14:textId="77777777" w:rsidTr="006250DA">
        <w:tc>
          <w:tcPr>
            <w:tcW w:w="1326" w:type="dxa"/>
            <w:vAlign w:val="center"/>
          </w:tcPr>
          <w:p w14:paraId="2194E065" w14:textId="796802C1" w:rsidR="006250DA" w:rsidRDefault="006250DA" w:rsidP="006250DA">
            <w:pPr>
              <w:jc w:val="right"/>
              <w:rPr>
                <w:rFonts w:cstheme="minorHAnsi"/>
                <w:sz w:val="18"/>
                <w:szCs w:val="24"/>
              </w:rPr>
            </w:pPr>
            <w:r>
              <w:rPr>
                <w:rFonts w:cstheme="minorHAnsi"/>
                <w:sz w:val="18"/>
                <w:szCs w:val="24"/>
              </w:rPr>
              <w:t>All Students</w:t>
            </w:r>
          </w:p>
        </w:tc>
        <w:tc>
          <w:tcPr>
            <w:tcW w:w="862" w:type="dxa"/>
            <w:vAlign w:val="center"/>
          </w:tcPr>
          <w:p w14:paraId="67713B7C" w14:textId="6DFAF5A4" w:rsidR="006250DA" w:rsidRPr="00504436" w:rsidRDefault="00332765" w:rsidP="006250DA">
            <w:pPr>
              <w:jc w:val="center"/>
              <w:rPr>
                <w:rFonts w:cstheme="minorHAnsi"/>
                <w:sz w:val="18"/>
                <w:szCs w:val="24"/>
              </w:rPr>
            </w:pPr>
            <w:r>
              <w:rPr>
                <w:rFonts w:cstheme="minorHAnsi"/>
                <w:sz w:val="18"/>
                <w:szCs w:val="24"/>
              </w:rPr>
              <w:t>125,033</w:t>
            </w:r>
          </w:p>
        </w:tc>
        <w:tc>
          <w:tcPr>
            <w:tcW w:w="904" w:type="dxa"/>
            <w:vAlign w:val="center"/>
          </w:tcPr>
          <w:p w14:paraId="7E03F81B" w14:textId="34FA20B6" w:rsidR="006250DA" w:rsidRPr="00504436" w:rsidRDefault="00332765" w:rsidP="006250DA">
            <w:pPr>
              <w:jc w:val="center"/>
              <w:rPr>
                <w:rFonts w:cstheme="minorHAnsi"/>
                <w:sz w:val="18"/>
                <w:szCs w:val="24"/>
              </w:rPr>
            </w:pPr>
            <w:r>
              <w:rPr>
                <w:rFonts w:cstheme="minorHAnsi"/>
                <w:sz w:val="18"/>
                <w:szCs w:val="24"/>
              </w:rPr>
              <w:t>53.65</w:t>
            </w:r>
          </w:p>
        </w:tc>
        <w:tc>
          <w:tcPr>
            <w:tcW w:w="680" w:type="dxa"/>
            <w:vAlign w:val="center"/>
          </w:tcPr>
          <w:p w14:paraId="795231DF" w14:textId="2DF30A57" w:rsidR="006250DA" w:rsidRPr="00504436" w:rsidRDefault="00332765" w:rsidP="006250DA">
            <w:pPr>
              <w:jc w:val="center"/>
              <w:rPr>
                <w:rFonts w:cstheme="minorHAnsi"/>
                <w:sz w:val="18"/>
                <w:szCs w:val="24"/>
              </w:rPr>
            </w:pPr>
            <w:r>
              <w:rPr>
                <w:rFonts w:cstheme="minorHAnsi"/>
                <w:sz w:val="18"/>
                <w:szCs w:val="24"/>
              </w:rPr>
              <w:t>45.65</w:t>
            </w:r>
          </w:p>
        </w:tc>
        <w:tc>
          <w:tcPr>
            <w:tcW w:w="818" w:type="dxa"/>
          </w:tcPr>
          <w:p w14:paraId="615020D6" w14:textId="74458835" w:rsidR="006250DA" w:rsidRPr="00504436" w:rsidRDefault="00332765" w:rsidP="006250DA">
            <w:pPr>
              <w:jc w:val="center"/>
              <w:rPr>
                <w:rFonts w:cstheme="minorHAnsi"/>
                <w:sz w:val="18"/>
                <w:szCs w:val="24"/>
              </w:rPr>
            </w:pPr>
            <w:r>
              <w:rPr>
                <w:rFonts w:cstheme="minorHAnsi"/>
                <w:sz w:val="18"/>
                <w:szCs w:val="24"/>
              </w:rPr>
              <w:t>15.52</w:t>
            </w:r>
          </w:p>
        </w:tc>
        <w:tc>
          <w:tcPr>
            <w:tcW w:w="1170" w:type="dxa"/>
            <w:vAlign w:val="center"/>
          </w:tcPr>
          <w:p w14:paraId="5A089013" w14:textId="4083B7BA" w:rsidR="006250DA" w:rsidRPr="00504436" w:rsidRDefault="00332765" w:rsidP="006250DA">
            <w:pPr>
              <w:jc w:val="center"/>
              <w:rPr>
                <w:rFonts w:cstheme="minorHAnsi"/>
                <w:sz w:val="18"/>
                <w:szCs w:val="24"/>
              </w:rPr>
            </w:pPr>
            <w:r>
              <w:rPr>
                <w:rFonts w:cstheme="minorHAnsi"/>
                <w:sz w:val="18"/>
                <w:szCs w:val="24"/>
              </w:rPr>
              <w:t>7.68</w:t>
            </w:r>
          </w:p>
        </w:tc>
        <w:tc>
          <w:tcPr>
            <w:tcW w:w="1260" w:type="dxa"/>
            <w:vAlign w:val="center"/>
          </w:tcPr>
          <w:p w14:paraId="158C1D0B" w14:textId="66D52948" w:rsidR="006250DA" w:rsidRPr="00504436" w:rsidRDefault="00332765" w:rsidP="006250DA">
            <w:pPr>
              <w:jc w:val="center"/>
              <w:rPr>
                <w:rFonts w:cstheme="minorHAnsi"/>
                <w:sz w:val="18"/>
                <w:szCs w:val="24"/>
              </w:rPr>
            </w:pPr>
            <w:r>
              <w:rPr>
                <w:rFonts w:cstheme="minorHAnsi"/>
                <w:sz w:val="18"/>
                <w:szCs w:val="24"/>
              </w:rPr>
              <w:t>9.86</w:t>
            </w:r>
          </w:p>
        </w:tc>
        <w:tc>
          <w:tcPr>
            <w:tcW w:w="1170" w:type="dxa"/>
            <w:vAlign w:val="center"/>
          </w:tcPr>
          <w:p w14:paraId="3B42F74D" w14:textId="6BE7F5C9" w:rsidR="006250DA" w:rsidRPr="00504436" w:rsidRDefault="00332765" w:rsidP="006250DA">
            <w:pPr>
              <w:jc w:val="center"/>
              <w:rPr>
                <w:rFonts w:cstheme="minorHAnsi"/>
                <w:sz w:val="18"/>
                <w:szCs w:val="24"/>
              </w:rPr>
            </w:pPr>
            <w:r>
              <w:rPr>
                <w:rFonts w:cstheme="minorHAnsi"/>
                <w:sz w:val="18"/>
                <w:szCs w:val="24"/>
              </w:rPr>
              <w:t>0.000</w:t>
            </w:r>
          </w:p>
        </w:tc>
        <w:tc>
          <w:tcPr>
            <w:tcW w:w="1170" w:type="dxa"/>
            <w:vAlign w:val="center"/>
          </w:tcPr>
          <w:p w14:paraId="131629AE" w14:textId="67A52A46" w:rsidR="006250DA" w:rsidRPr="00504436" w:rsidRDefault="00332765" w:rsidP="006250DA">
            <w:pPr>
              <w:jc w:val="center"/>
              <w:rPr>
                <w:rFonts w:cstheme="minorHAnsi"/>
                <w:sz w:val="18"/>
                <w:szCs w:val="24"/>
              </w:rPr>
            </w:pPr>
            <w:r>
              <w:rPr>
                <w:rFonts w:cstheme="minorHAnsi"/>
                <w:sz w:val="18"/>
                <w:szCs w:val="24"/>
              </w:rPr>
              <w:t>0.002</w:t>
            </w:r>
          </w:p>
        </w:tc>
      </w:tr>
      <w:tr w:rsidR="006250DA" w14:paraId="43D3BECD" w14:textId="77777777" w:rsidTr="006250DA">
        <w:tc>
          <w:tcPr>
            <w:tcW w:w="1326" w:type="dxa"/>
            <w:vAlign w:val="center"/>
          </w:tcPr>
          <w:p w14:paraId="06B5E6B3" w14:textId="263EB228" w:rsidR="006250DA" w:rsidRDefault="006250DA" w:rsidP="006250DA">
            <w:pPr>
              <w:jc w:val="right"/>
              <w:rPr>
                <w:rFonts w:cstheme="minorHAnsi"/>
                <w:sz w:val="18"/>
                <w:szCs w:val="24"/>
              </w:rPr>
            </w:pPr>
            <w:r>
              <w:rPr>
                <w:rFonts w:cstheme="minorHAnsi"/>
                <w:sz w:val="18"/>
                <w:szCs w:val="24"/>
              </w:rPr>
              <w:t>Lab Schools</w:t>
            </w:r>
          </w:p>
        </w:tc>
        <w:tc>
          <w:tcPr>
            <w:tcW w:w="862" w:type="dxa"/>
            <w:vAlign w:val="center"/>
          </w:tcPr>
          <w:p w14:paraId="0B601CE6" w14:textId="4E36ADE4" w:rsidR="006250DA" w:rsidRPr="00504436" w:rsidRDefault="00FA4362" w:rsidP="006250DA">
            <w:pPr>
              <w:jc w:val="center"/>
              <w:rPr>
                <w:rFonts w:cstheme="minorHAnsi"/>
                <w:sz w:val="18"/>
                <w:szCs w:val="24"/>
              </w:rPr>
            </w:pPr>
            <w:r>
              <w:rPr>
                <w:rFonts w:cstheme="minorHAnsi"/>
                <w:sz w:val="18"/>
                <w:szCs w:val="24"/>
              </w:rPr>
              <w:t>39</w:t>
            </w:r>
          </w:p>
        </w:tc>
        <w:tc>
          <w:tcPr>
            <w:tcW w:w="904" w:type="dxa"/>
            <w:vAlign w:val="center"/>
          </w:tcPr>
          <w:p w14:paraId="01415C0E" w14:textId="51E3A321" w:rsidR="006250DA" w:rsidRPr="00504436" w:rsidRDefault="00FA4362" w:rsidP="006250DA">
            <w:pPr>
              <w:jc w:val="center"/>
              <w:rPr>
                <w:rFonts w:cstheme="minorHAnsi"/>
                <w:sz w:val="18"/>
                <w:szCs w:val="24"/>
              </w:rPr>
            </w:pPr>
            <w:r>
              <w:rPr>
                <w:rFonts w:cstheme="minorHAnsi"/>
                <w:sz w:val="18"/>
                <w:szCs w:val="24"/>
              </w:rPr>
              <w:t>87.18</w:t>
            </w:r>
          </w:p>
        </w:tc>
        <w:tc>
          <w:tcPr>
            <w:tcW w:w="680" w:type="dxa"/>
            <w:vAlign w:val="center"/>
          </w:tcPr>
          <w:p w14:paraId="437536EA" w14:textId="70EFF1C0" w:rsidR="006250DA" w:rsidRPr="00504436" w:rsidRDefault="00FA4362" w:rsidP="006250DA">
            <w:pPr>
              <w:jc w:val="center"/>
              <w:rPr>
                <w:rFonts w:cstheme="minorHAnsi"/>
                <w:sz w:val="18"/>
                <w:szCs w:val="24"/>
              </w:rPr>
            </w:pPr>
            <w:r>
              <w:rPr>
                <w:rFonts w:cstheme="minorHAnsi"/>
                <w:sz w:val="18"/>
                <w:szCs w:val="24"/>
              </w:rPr>
              <w:t>71.79</w:t>
            </w:r>
          </w:p>
        </w:tc>
        <w:tc>
          <w:tcPr>
            <w:tcW w:w="818" w:type="dxa"/>
          </w:tcPr>
          <w:p w14:paraId="02C880D6" w14:textId="6B673C20" w:rsidR="006250DA" w:rsidRPr="00504436" w:rsidRDefault="00FA4362" w:rsidP="006250DA">
            <w:pPr>
              <w:jc w:val="center"/>
              <w:rPr>
                <w:rFonts w:cstheme="minorHAnsi"/>
                <w:sz w:val="18"/>
                <w:szCs w:val="24"/>
              </w:rPr>
            </w:pPr>
            <w:r>
              <w:rPr>
                <w:rFonts w:cstheme="minorHAnsi"/>
                <w:sz w:val="18"/>
                <w:szCs w:val="24"/>
              </w:rPr>
              <w:t>23.08</w:t>
            </w:r>
          </w:p>
        </w:tc>
        <w:tc>
          <w:tcPr>
            <w:tcW w:w="1170" w:type="dxa"/>
            <w:vAlign w:val="center"/>
          </w:tcPr>
          <w:p w14:paraId="610337CE" w14:textId="26C68A96" w:rsidR="006250DA" w:rsidRPr="00504436" w:rsidRDefault="00FA4362" w:rsidP="006250DA">
            <w:pPr>
              <w:jc w:val="center"/>
              <w:rPr>
                <w:rFonts w:cstheme="minorHAnsi"/>
                <w:sz w:val="18"/>
                <w:szCs w:val="24"/>
              </w:rPr>
            </w:pPr>
            <w:r>
              <w:rPr>
                <w:rFonts w:cstheme="minorHAnsi"/>
                <w:sz w:val="18"/>
                <w:szCs w:val="24"/>
              </w:rPr>
              <w:t>7.13</w:t>
            </w:r>
          </w:p>
        </w:tc>
        <w:tc>
          <w:tcPr>
            <w:tcW w:w="1260" w:type="dxa"/>
            <w:vAlign w:val="center"/>
          </w:tcPr>
          <w:p w14:paraId="5380BE2B" w14:textId="257CE782" w:rsidR="006250DA" w:rsidRPr="00504436" w:rsidRDefault="00FA4362" w:rsidP="006250DA">
            <w:pPr>
              <w:jc w:val="center"/>
              <w:rPr>
                <w:rFonts w:cstheme="minorHAnsi"/>
                <w:sz w:val="18"/>
                <w:szCs w:val="24"/>
              </w:rPr>
            </w:pPr>
            <w:r>
              <w:rPr>
                <w:rFonts w:cstheme="minorHAnsi"/>
                <w:sz w:val="18"/>
                <w:szCs w:val="24"/>
              </w:rPr>
              <w:t>20.51</w:t>
            </w:r>
          </w:p>
        </w:tc>
        <w:tc>
          <w:tcPr>
            <w:tcW w:w="1170" w:type="dxa"/>
            <w:vAlign w:val="center"/>
          </w:tcPr>
          <w:p w14:paraId="0D0C4A6C" w14:textId="0A0C0F83" w:rsidR="006250DA" w:rsidRPr="00504436" w:rsidRDefault="00FA4362" w:rsidP="006250DA">
            <w:pPr>
              <w:jc w:val="center"/>
              <w:rPr>
                <w:rFonts w:cstheme="minorHAnsi"/>
                <w:sz w:val="18"/>
                <w:szCs w:val="24"/>
              </w:rPr>
            </w:pPr>
            <w:r>
              <w:rPr>
                <w:rFonts w:cstheme="minorHAnsi"/>
                <w:sz w:val="18"/>
                <w:szCs w:val="24"/>
              </w:rPr>
              <w:t>-0.237</w:t>
            </w:r>
          </w:p>
        </w:tc>
        <w:tc>
          <w:tcPr>
            <w:tcW w:w="1170" w:type="dxa"/>
            <w:vAlign w:val="center"/>
          </w:tcPr>
          <w:p w14:paraId="2B8FB9B2" w14:textId="60722B79" w:rsidR="006250DA" w:rsidRPr="00504436" w:rsidRDefault="00FA4362" w:rsidP="006250DA">
            <w:pPr>
              <w:jc w:val="center"/>
              <w:rPr>
                <w:rFonts w:cstheme="minorHAnsi"/>
                <w:sz w:val="18"/>
                <w:szCs w:val="24"/>
              </w:rPr>
            </w:pPr>
            <w:r>
              <w:rPr>
                <w:rFonts w:cstheme="minorHAnsi"/>
                <w:sz w:val="18"/>
                <w:szCs w:val="24"/>
              </w:rPr>
              <w:t>-0.265</w:t>
            </w:r>
          </w:p>
        </w:tc>
      </w:tr>
      <w:tr w:rsidR="006250DA" w14:paraId="39D243CC" w14:textId="77777777" w:rsidTr="006250DA">
        <w:tc>
          <w:tcPr>
            <w:tcW w:w="1326" w:type="dxa"/>
            <w:vAlign w:val="center"/>
          </w:tcPr>
          <w:p w14:paraId="71E1F204" w14:textId="4E456EBD" w:rsidR="006250DA" w:rsidRDefault="006250DA" w:rsidP="006250DA">
            <w:pPr>
              <w:jc w:val="right"/>
              <w:rPr>
                <w:rFonts w:cstheme="minorHAnsi"/>
                <w:sz w:val="18"/>
                <w:szCs w:val="24"/>
              </w:rPr>
            </w:pPr>
            <w:r>
              <w:rPr>
                <w:rFonts w:cstheme="minorHAnsi"/>
                <w:sz w:val="18"/>
                <w:szCs w:val="24"/>
              </w:rPr>
              <w:t>Matched</w:t>
            </w:r>
          </w:p>
        </w:tc>
        <w:tc>
          <w:tcPr>
            <w:tcW w:w="862" w:type="dxa"/>
            <w:vAlign w:val="center"/>
          </w:tcPr>
          <w:p w14:paraId="040E69F6" w14:textId="3D2B1392" w:rsidR="006250DA" w:rsidRPr="00504436" w:rsidRDefault="00FA4362" w:rsidP="006250DA">
            <w:pPr>
              <w:jc w:val="center"/>
              <w:rPr>
                <w:rFonts w:cstheme="minorHAnsi"/>
                <w:sz w:val="18"/>
                <w:szCs w:val="24"/>
              </w:rPr>
            </w:pPr>
            <w:r>
              <w:rPr>
                <w:rFonts w:cstheme="minorHAnsi"/>
                <w:sz w:val="18"/>
                <w:szCs w:val="24"/>
              </w:rPr>
              <w:t>196</w:t>
            </w:r>
          </w:p>
        </w:tc>
        <w:tc>
          <w:tcPr>
            <w:tcW w:w="904" w:type="dxa"/>
            <w:vAlign w:val="center"/>
          </w:tcPr>
          <w:p w14:paraId="3803A210" w14:textId="75883738" w:rsidR="006250DA" w:rsidRPr="00504436" w:rsidRDefault="00FA4362" w:rsidP="006250DA">
            <w:pPr>
              <w:jc w:val="center"/>
              <w:rPr>
                <w:rFonts w:cstheme="minorHAnsi"/>
                <w:sz w:val="18"/>
                <w:szCs w:val="24"/>
              </w:rPr>
            </w:pPr>
            <w:r>
              <w:rPr>
                <w:rFonts w:cstheme="minorHAnsi"/>
                <w:sz w:val="18"/>
                <w:szCs w:val="24"/>
              </w:rPr>
              <w:t>88.78</w:t>
            </w:r>
          </w:p>
        </w:tc>
        <w:tc>
          <w:tcPr>
            <w:tcW w:w="680" w:type="dxa"/>
            <w:vAlign w:val="center"/>
          </w:tcPr>
          <w:p w14:paraId="7E6D1347" w14:textId="2222D463" w:rsidR="006250DA" w:rsidRPr="00504436" w:rsidRDefault="00FA4362" w:rsidP="006250DA">
            <w:pPr>
              <w:jc w:val="center"/>
              <w:rPr>
                <w:rFonts w:cstheme="minorHAnsi"/>
                <w:sz w:val="18"/>
                <w:szCs w:val="24"/>
              </w:rPr>
            </w:pPr>
            <w:r>
              <w:rPr>
                <w:rFonts w:cstheme="minorHAnsi"/>
                <w:sz w:val="18"/>
                <w:szCs w:val="24"/>
              </w:rPr>
              <w:t>69.90</w:t>
            </w:r>
          </w:p>
        </w:tc>
        <w:tc>
          <w:tcPr>
            <w:tcW w:w="818" w:type="dxa"/>
          </w:tcPr>
          <w:p w14:paraId="39899855" w14:textId="6D395C9D" w:rsidR="006250DA" w:rsidRPr="00504436" w:rsidRDefault="00FA4362" w:rsidP="006250DA">
            <w:pPr>
              <w:jc w:val="center"/>
              <w:rPr>
                <w:rFonts w:cstheme="minorHAnsi"/>
                <w:sz w:val="18"/>
                <w:szCs w:val="24"/>
              </w:rPr>
            </w:pPr>
            <w:r>
              <w:rPr>
                <w:rFonts w:cstheme="minorHAnsi"/>
                <w:sz w:val="18"/>
                <w:szCs w:val="24"/>
              </w:rPr>
              <w:t>23.47</w:t>
            </w:r>
          </w:p>
        </w:tc>
        <w:tc>
          <w:tcPr>
            <w:tcW w:w="1170" w:type="dxa"/>
            <w:vAlign w:val="center"/>
          </w:tcPr>
          <w:p w14:paraId="6EA5D35C" w14:textId="4BE273C4" w:rsidR="006250DA" w:rsidRPr="00504436" w:rsidRDefault="00FA4362" w:rsidP="006250DA">
            <w:pPr>
              <w:jc w:val="center"/>
              <w:rPr>
                <w:rFonts w:cstheme="minorHAnsi"/>
                <w:sz w:val="18"/>
                <w:szCs w:val="24"/>
              </w:rPr>
            </w:pPr>
            <w:r>
              <w:rPr>
                <w:rFonts w:cstheme="minorHAnsi"/>
                <w:sz w:val="18"/>
                <w:szCs w:val="24"/>
              </w:rPr>
              <w:t>6.87</w:t>
            </w:r>
          </w:p>
        </w:tc>
        <w:tc>
          <w:tcPr>
            <w:tcW w:w="1260" w:type="dxa"/>
            <w:vAlign w:val="center"/>
          </w:tcPr>
          <w:p w14:paraId="6AAA727F" w14:textId="36E8D0A5" w:rsidR="006250DA" w:rsidRPr="00504436" w:rsidRDefault="00FA4362" w:rsidP="006250DA">
            <w:pPr>
              <w:jc w:val="center"/>
              <w:rPr>
                <w:rFonts w:cstheme="minorHAnsi"/>
                <w:sz w:val="18"/>
                <w:szCs w:val="24"/>
              </w:rPr>
            </w:pPr>
            <w:r>
              <w:rPr>
                <w:rFonts w:cstheme="minorHAnsi"/>
                <w:sz w:val="18"/>
                <w:szCs w:val="24"/>
              </w:rPr>
              <w:t>13.78</w:t>
            </w:r>
          </w:p>
        </w:tc>
        <w:tc>
          <w:tcPr>
            <w:tcW w:w="1170" w:type="dxa"/>
            <w:vAlign w:val="center"/>
          </w:tcPr>
          <w:p w14:paraId="27F75891" w14:textId="2B4CAEBE" w:rsidR="006250DA" w:rsidRPr="00504436" w:rsidRDefault="00FA4362" w:rsidP="006250DA">
            <w:pPr>
              <w:jc w:val="center"/>
              <w:rPr>
                <w:rFonts w:cstheme="minorHAnsi"/>
                <w:sz w:val="18"/>
                <w:szCs w:val="24"/>
              </w:rPr>
            </w:pPr>
            <w:r>
              <w:rPr>
                <w:rFonts w:cstheme="minorHAnsi"/>
                <w:sz w:val="18"/>
                <w:szCs w:val="24"/>
              </w:rPr>
              <w:t>-0.325</w:t>
            </w:r>
          </w:p>
        </w:tc>
        <w:tc>
          <w:tcPr>
            <w:tcW w:w="1170" w:type="dxa"/>
            <w:vAlign w:val="center"/>
          </w:tcPr>
          <w:p w14:paraId="570D71C4" w14:textId="3CBB7C59" w:rsidR="006250DA" w:rsidRPr="00504436" w:rsidRDefault="00FA4362" w:rsidP="006250DA">
            <w:pPr>
              <w:jc w:val="center"/>
              <w:rPr>
                <w:rFonts w:cstheme="minorHAnsi"/>
                <w:sz w:val="18"/>
                <w:szCs w:val="24"/>
              </w:rPr>
            </w:pPr>
            <w:r>
              <w:rPr>
                <w:rFonts w:cstheme="minorHAnsi"/>
                <w:sz w:val="18"/>
                <w:szCs w:val="24"/>
              </w:rPr>
              <w:t>-0.313</w:t>
            </w:r>
          </w:p>
        </w:tc>
      </w:tr>
      <w:tr w:rsidR="006250DA" w14:paraId="3149DE48" w14:textId="77777777" w:rsidTr="006250DA">
        <w:tc>
          <w:tcPr>
            <w:tcW w:w="9360" w:type="dxa"/>
            <w:gridSpan w:val="9"/>
            <w:vAlign w:val="center"/>
          </w:tcPr>
          <w:p w14:paraId="0D773571" w14:textId="1E27FDC8" w:rsidR="006250DA" w:rsidRPr="006250DA" w:rsidRDefault="006250DA" w:rsidP="006250DA">
            <w:pPr>
              <w:jc w:val="center"/>
              <w:rPr>
                <w:rFonts w:cstheme="minorHAnsi"/>
                <w:i/>
                <w:iCs/>
                <w:sz w:val="18"/>
                <w:szCs w:val="24"/>
              </w:rPr>
            </w:pPr>
            <w:r>
              <w:rPr>
                <w:rFonts w:cstheme="minorHAnsi"/>
                <w:i/>
                <w:iCs/>
                <w:sz w:val="18"/>
                <w:szCs w:val="24"/>
              </w:rPr>
              <w:t>7</w:t>
            </w:r>
            <w:r w:rsidRPr="006250DA">
              <w:rPr>
                <w:rFonts w:cstheme="minorHAnsi"/>
                <w:i/>
                <w:iCs/>
                <w:sz w:val="18"/>
                <w:szCs w:val="24"/>
                <w:vertAlign w:val="superscript"/>
              </w:rPr>
              <w:t>th</w:t>
            </w:r>
            <w:r>
              <w:rPr>
                <w:rFonts w:cstheme="minorHAnsi"/>
                <w:i/>
                <w:iCs/>
                <w:sz w:val="18"/>
                <w:szCs w:val="24"/>
              </w:rPr>
              <w:t xml:space="preserve"> Grade</w:t>
            </w:r>
          </w:p>
        </w:tc>
      </w:tr>
      <w:tr w:rsidR="006250DA" w14:paraId="17FB9F5F" w14:textId="77777777" w:rsidTr="006250DA">
        <w:tc>
          <w:tcPr>
            <w:tcW w:w="1326" w:type="dxa"/>
            <w:vAlign w:val="center"/>
          </w:tcPr>
          <w:p w14:paraId="73E49E83" w14:textId="741CFE19" w:rsidR="006250DA" w:rsidRDefault="006250DA" w:rsidP="006250DA">
            <w:pPr>
              <w:jc w:val="right"/>
              <w:rPr>
                <w:rFonts w:cstheme="minorHAnsi"/>
                <w:sz w:val="18"/>
                <w:szCs w:val="24"/>
              </w:rPr>
            </w:pPr>
            <w:r>
              <w:rPr>
                <w:rFonts w:cstheme="minorHAnsi"/>
                <w:sz w:val="18"/>
                <w:szCs w:val="24"/>
              </w:rPr>
              <w:t>All Students</w:t>
            </w:r>
          </w:p>
        </w:tc>
        <w:tc>
          <w:tcPr>
            <w:tcW w:w="862" w:type="dxa"/>
            <w:vAlign w:val="center"/>
          </w:tcPr>
          <w:p w14:paraId="24A1F4C3" w14:textId="3E490BE9" w:rsidR="006250DA" w:rsidRPr="00504436" w:rsidRDefault="00F529E1" w:rsidP="006250DA">
            <w:pPr>
              <w:jc w:val="center"/>
              <w:rPr>
                <w:rFonts w:cstheme="minorHAnsi"/>
                <w:sz w:val="18"/>
                <w:szCs w:val="24"/>
              </w:rPr>
            </w:pPr>
            <w:r>
              <w:rPr>
                <w:rFonts w:cstheme="minorHAnsi"/>
                <w:sz w:val="18"/>
                <w:szCs w:val="24"/>
              </w:rPr>
              <w:t>122,015</w:t>
            </w:r>
          </w:p>
        </w:tc>
        <w:tc>
          <w:tcPr>
            <w:tcW w:w="904" w:type="dxa"/>
            <w:vAlign w:val="center"/>
          </w:tcPr>
          <w:p w14:paraId="7437A957" w14:textId="57268D9D" w:rsidR="006250DA" w:rsidRPr="00504436" w:rsidRDefault="00F529E1" w:rsidP="006250DA">
            <w:pPr>
              <w:jc w:val="center"/>
              <w:rPr>
                <w:rFonts w:cstheme="minorHAnsi"/>
                <w:sz w:val="18"/>
                <w:szCs w:val="24"/>
              </w:rPr>
            </w:pPr>
            <w:r>
              <w:rPr>
                <w:rFonts w:cstheme="minorHAnsi"/>
                <w:sz w:val="18"/>
                <w:szCs w:val="24"/>
              </w:rPr>
              <w:t>52.97</w:t>
            </w:r>
          </w:p>
        </w:tc>
        <w:tc>
          <w:tcPr>
            <w:tcW w:w="680" w:type="dxa"/>
            <w:vAlign w:val="center"/>
          </w:tcPr>
          <w:p w14:paraId="166859E8" w14:textId="1DFEFFE2" w:rsidR="006250DA" w:rsidRPr="00504436" w:rsidRDefault="00F529E1" w:rsidP="006250DA">
            <w:pPr>
              <w:jc w:val="center"/>
              <w:rPr>
                <w:rFonts w:cstheme="minorHAnsi"/>
                <w:sz w:val="18"/>
                <w:szCs w:val="24"/>
              </w:rPr>
            </w:pPr>
            <w:r>
              <w:rPr>
                <w:rFonts w:cstheme="minorHAnsi"/>
                <w:sz w:val="18"/>
                <w:szCs w:val="24"/>
              </w:rPr>
              <w:t>46.31</w:t>
            </w:r>
          </w:p>
        </w:tc>
        <w:tc>
          <w:tcPr>
            <w:tcW w:w="818" w:type="dxa"/>
          </w:tcPr>
          <w:p w14:paraId="3C4DD0F4" w14:textId="3175D221" w:rsidR="006250DA" w:rsidRPr="00504436" w:rsidRDefault="00F529E1" w:rsidP="006250DA">
            <w:pPr>
              <w:jc w:val="center"/>
              <w:rPr>
                <w:rFonts w:cstheme="minorHAnsi"/>
                <w:sz w:val="18"/>
                <w:szCs w:val="24"/>
              </w:rPr>
            </w:pPr>
            <w:r>
              <w:rPr>
                <w:rFonts w:cstheme="minorHAnsi"/>
                <w:sz w:val="18"/>
                <w:szCs w:val="24"/>
              </w:rPr>
              <w:t>15.68</w:t>
            </w:r>
          </w:p>
        </w:tc>
        <w:tc>
          <w:tcPr>
            <w:tcW w:w="1170" w:type="dxa"/>
            <w:vAlign w:val="center"/>
          </w:tcPr>
          <w:p w14:paraId="1055F8E9" w14:textId="2DA760F7" w:rsidR="006250DA" w:rsidRPr="00504436" w:rsidRDefault="00F529E1" w:rsidP="006250DA">
            <w:pPr>
              <w:jc w:val="center"/>
              <w:rPr>
                <w:rFonts w:cstheme="minorHAnsi"/>
                <w:sz w:val="18"/>
                <w:szCs w:val="24"/>
              </w:rPr>
            </w:pPr>
            <w:r>
              <w:rPr>
                <w:rFonts w:cstheme="minorHAnsi"/>
                <w:sz w:val="18"/>
                <w:szCs w:val="24"/>
              </w:rPr>
              <w:t>8.40</w:t>
            </w:r>
          </w:p>
        </w:tc>
        <w:tc>
          <w:tcPr>
            <w:tcW w:w="1260" w:type="dxa"/>
            <w:vAlign w:val="center"/>
          </w:tcPr>
          <w:p w14:paraId="4D3AB512" w14:textId="71AC9A51" w:rsidR="006250DA" w:rsidRPr="00504436" w:rsidRDefault="00F529E1" w:rsidP="006250DA">
            <w:pPr>
              <w:jc w:val="center"/>
              <w:rPr>
                <w:rFonts w:cstheme="minorHAnsi"/>
                <w:sz w:val="18"/>
                <w:szCs w:val="24"/>
              </w:rPr>
            </w:pPr>
            <w:r>
              <w:rPr>
                <w:rFonts w:cstheme="minorHAnsi"/>
                <w:sz w:val="18"/>
                <w:szCs w:val="24"/>
              </w:rPr>
              <w:t>18.42</w:t>
            </w:r>
          </w:p>
        </w:tc>
        <w:tc>
          <w:tcPr>
            <w:tcW w:w="1170" w:type="dxa"/>
            <w:vAlign w:val="center"/>
          </w:tcPr>
          <w:p w14:paraId="604156BE" w14:textId="66A458EE" w:rsidR="006250DA" w:rsidRPr="00504436" w:rsidRDefault="00F529E1" w:rsidP="006250DA">
            <w:pPr>
              <w:jc w:val="center"/>
              <w:rPr>
                <w:rFonts w:cstheme="minorHAnsi"/>
                <w:sz w:val="18"/>
                <w:szCs w:val="24"/>
              </w:rPr>
            </w:pPr>
            <w:r>
              <w:rPr>
                <w:rFonts w:cstheme="minorHAnsi"/>
                <w:sz w:val="18"/>
                <w:szCs w:val="24"/>
              </w:rPr>
              <w:t>0.008</w:t>
            </w:r>
          </w:p>
        </w:tc>
        <w:tc>
          <w:tcPr>
            <w:tcW w:w="1170" w:type="dxa"/>
            <w:vAlign w:val="center"/>
          </w:tcPr>
          <w:p w14:paraId="45A9A3BF" w14:textId="6C78F667" w:rsidR="006250DA" w:rsidRPr="00504436" w:rsidRDefault="00F529E1" w:rsidP="006250DA">
            <w:pPr>
              <w:jc w:val="center"/>
              <w:rPr>
                <w:rFonts w:cstheme="minorHAnsi"/>
                <w:sz w:val="18"/>
                <w:szCs w:val="24"/>
              </w:rPr>
            </w:pPr>
            <w:r>
              <w:rPr>
                <w:rFonts w:cstheme="minorHAnsi"/>
                <w:sz w:val="18"/>
                <w:szCs w:val="24"/>
              </w:rPr>
              <w:t>0.010</w:t>
            </w:r>
          </w:p>
        </w:tc>
      </w:tr>
      <w:tr w:rsidR="006250DA" w14:paraId="6089F19B" w14:textId="77777777" w:rsidTr="006250DA">
        <w:tc>
          <w:tcPr>
            <w:tcW w:w="1326" w:type="dxa"/>
            <w:vAlign w:val="center"/>
          </w:tcPr>
          <w:p w14:paraId="3597FD92" w14:textId="174D013E" w:rsidR="006250DA" w:rsidRDefault="006250DA" w:rsidP="006250DA">
            <w:pPr>
              <w:jc w:val="right"/>
              <w:rPr>
                <w:rFonts w:cstheme="minorHAnsi"/>
                <w:sz w:val="18"/>
                <w:szCs w:val="24"/>
              </w:rPr>
            </w:pPr>
            <w:r>
              <w:rPr>
                <w:rFonts w:cstheme="minorHAnsi"/>
                <w:sz w:val="18"/>
                <w:szCs w:val="24"/>
              </w:rPr>
              <w:t>Lab Schools</w:t>
            </w:r>
          </w:p>
        </w:tc>
        <w:tc>
          <w:tcPr>
            <w:tcW w:w="862" w:type="dxa"/>
            <w:vAlign w:val="center"/>
          </w:tcPr>
          <w:p w14:paraId="22E7A813" w14:textId="75012F72" w:rsidR="006250DA" w:rsidRPr="00504436" w:rsidRDefault="00FA4362" w:rsidP="006250DA">
            <w:pPr>
              <w:jc w:val="center"/>
              <w:rPr>
                <w:rFonts w:cstheme="minorHAnsi"/>
                <w:sz w:val="18"/>
                <w:szCs w:val="24"/>
              </w:rPr>
            </w:pPr>
            <w:r>
              <w:rPr>
                <w:rFonts w:cstheme="minorHAnsi"/>
                <w:sz w:val="18"/>
                <w:szCs w:val="24"/>
              </w:rPr>
              <w:t>54</w:t>
            </w:r>
          </w:p>
        </w:tc>
        <w:tc>
          <w:tcPr>
            <w:tcW w:w="904" w:type="dxa"/>
            <w:vAlign w:val="center"/>
          </w:tcPr>
          <w:p w14:paraId="2C27B92B" w14:textId="2A78AEE6" w:rsidR="006250DA" w:rsidRPr="00504436" w:rsidRDefault="00FA4362" w:rsidP="006250DA">
            <w:pPr>
              <w:jc w:val="center"/>
              <w:rPr>
                <w:rFonts w:cstheme="minorHAnsi"/>
                <w:sz w:val="18"/>
                <w:szCs w:val="24"/>
              </w:rPr>
            </w:pPr>
            <w:r>
              <w:rPr>
                <w:rFonts w:cstheme="minorHAnsi"/>
                <w:sz w:val="18"/>
                <w:szCs w:val="24"/>
              </w:rPr>
              <w:t>64.81</w:t>
            </w:r>
          </w:p>
        </w:tc>
        <w:tc>
          <w:tcPr>
            <w:tcW w:w="680" w:type="dxa"/>
            <w:vAlign w:val="center"/>
          </w:tcPr>
          <w:p w14:paraId="0AF77F6A" w14:textId="50D29B78" w:rsidR="006250DA" w:rsidRPr="00504436" w:rsidRDefault="00FA4362" w:rsidP="006250DA">
            <w:pPr>
              <w:jc w:val="center"/>
              <w:rPr>
                <w:rFonts w:cstheme="minorHAnsi"/>
                <w:sz w:val="18"/>
                <w:szCs w:val="24"/>
              </w:rPr>
            </w:pPr>
            <w:r>
              <w:rPr>
                <w:rFonts w:cstheme="minorHAnsi"/>
                <w:sz w:val="18"/>
                <w:szCs w:val="24"/>
              </w:rPr>
              <w:t>64.81</w:t>
            </w:r>
          </w:p>
        </w:tc>
        <w:tc>
          <w:tcPr>
            <w:tcW w:w="818" w:type="dxa"/>
          </w:tcPr>
          <w:p w14:paraId="53DFC259" w14:textId="6260386F" w:rsidR="006250DA" w:rsidRPr="00504436" w:rsidRDefault="00FA4362" w:rsidP="006250DA">
            <w:pPr>
              <w:jc w:val="center"/>
              <w:rPr>
                <w:rFonts w:cstheme="minorHAnsi"/>
                <w:sz w:val="18"/>
                <w:szCs w:val="24"/>
              </w:rPr>
            </w:pPr>
            <w:r>
              <w:rPr>
                <w:rFonts w:cstheme="minorHAnsi"/>
                <w:sz w:val="18"/>
                <w:szCs w:val="24"/>
              </w:rPr>
              <w:t>16.67</w:t>
            </w:r>
          </w:p>
        </w:tc>
        <w:tc>
          <w:tcPr>
            <w:tcW w:w="1170" w:type="dxa"/>
            <w:vAlign w:val="center"/>
          </w:tcPr>
          <w:p w14:paraId="4A2FBD0D" w14:textId="2C4165FD" w:rsidR="006250DA" w:rsidRPr="00504436" w:rsidRDefault="00FA4362" w:rsidP="006250DA">
            <w:pPr>
              <w:jc w:val="center"/>
              <w:rPr>
                <w:rFonts w:cstheme="minorHAnsi"/>
                <w:sz w:val="18"/>
                <w:szCs w:val="24"/>
              </w:rPr>
            </w:pPr>
            <w:r>
              <w:rPr>
                <w:rFonts w:cstheme="minorHAnsi"/>
                <w:sz w:val="18"/>
                <w:szCs w:val="24"/>
              </w:rPr>
              <w:t>7.76</w:t>
            </w:r>
          </w:p>
        </w:tc>
        <w:tc>
          <w:tcPr>
            <w:tcW w:w="1260" w:type="dxa"/>
            <w:vAlign w:val="center"/>
          </w:tcPr>
          <w:p w14:paraId="24748B11" w14:textId="58517185" w:rsidR="006250DA" w:rsidRPr="00504436" w:rsidRDefault="00FA4362" w:rsidP="006250DA">
            <w:pPr>
              <w:jc w:val="center"/>
              <w:rPr>
                <w:rFonts w:cstheme="minorHAnsi"/>
                <w:sz w:val="18"/>
                <w:szCs w:val="24"/>
              </w:rPr>
            </w:pPr>
            <w:r>
              <w:rPr>
                <w:rFonts w:cstheme="minorHAnsi"/>
                <w:sz w:val="18"/>
                <w:szCs w:val="24"/>
              </w:rPr>
              <w:t>25.92</w:t>
            </w:r>
          </w:p>
        </w:tc>
        <w:tc>
          <w:tcPr>
            <w:tcW w:w="1170" w:type="dxa"/>
            <w:vAlign w:val="center"/>
          </w:tcPr>
          <w:p w14:paraId="2607E1DF" w14:textId="4D12A741" w:rsidR="006250DA" w:rsidRPr="00504436" w:rsidRDefault="00FA4362" w:rsidP="006250DA">
            <w:pPr>
              <w:jc w:val="center"/>
              <w:rPr>
                <w:rFonts w:cstheme="minorHAnsi"/>
                <w:sz w:val="18"/>
                <w:szCs w:val="24"/>
              </w:rPr>
            </w:pPr>
            <w:r>
              <w:rPr>
                <w:rFonts w:cstheme="minorHAnsi"/>
                <w:sz w:val="18"/>
                <w:szCs w:val="24"/>
              </w:rPr>
              <w:t>-0.609</w:t>
            </w:r>
          </w:p>
        </w:tc>
        <w:tc>
          <w:tcPr>
            <w:tcW w:w="1170" w:type="dxa"/>
            <w:vAlign w:val="center"/>
          </w:tcPr>
          <w:p w14:paraId="1770E18F" w14:textId="4997BB62" w:rsidR="006250DA" w:rsidRPr="00504436" w:rsidRDefault="00FA4362" w:rsidP="006250DA">
            <w:pPr>
              <w:jc w:val="center"/>
              <w:rPr>
                <w:rFonts w:cstheme="minorHAnsi"/>
                <w:sz w:val="18"/>
                <w:szCs w:val="24"/>
              </w:rPr>
            </w:pPr>
            <w:r>
              <w:rPr>
                <w:rFonts w:cstheme="minorHAnsi"/>
                <w:sz w:val="18"/>
                <w:szCs w:val="24"/>
              </w:rPr>
              <w:t>-0.833</w:t>
            </w:r>
          </w:p>
        </w:tc>
      </w:tr>
      <w:tr w:rsidR="006250DA" w14:paraId="5C95E1C9" w14:textId="77777777" w:rsidTr="006250DA">
        <w:tc>
          <w:tcPr>
            <w:tcW w:w="1326" w:type="dxa"/>
            <w:vAlign w:val="center"/>
          </w:tcPr>
          <w:p w14:paraId="0261FE1F" w14:textId="00355A41" w:rsidR="006250DA" w:rsidRDefault="006250DA" w:rsidP="006250DA">
            <w:pPr>
              <w:jc w:val="right"/>
              <w:rPr>
                <w:rFonts w:cstheme="minorHAnsi"/>
                <w:sz w:val="18"/>
                <w:szCs w:val="24"/>
              </w:rPr>
            </w:pPr>
            <w:r>
              <w:rPr>
                <w:rFonts w:cstheme="minorHAnsi"/>
                <w:sz w:val="18"/>
                <w:szCs w:val="24"/>
              </w:rPr>
              <w:t>Matched</w:t>
            </w:r>
          </w:p>
        </w:tc>
        <w:tc>
          <w:tcPr>
            <w:tcW w:w="862" w:type="dxa"/>
            <w:vAlign w:val="center"/>
          </w:tcPr>
          <w:p w14:paraId="045E9154" w14:textId="79584711" w:rsidR="006250DA" w:rsidRPr="00504436" w:rsidRDefault="00FA4362" w:rsidP="006250DA">
            <w:pPr>
              <w:jc w:val="center"/>
              <w:rPr>
                <w:rFonts w:cstheme="minorHAnsi"/>
                <w:sz w:val="18"/>
                <w:szCs w:val="24"/>
              </w:rPr>
            </w:pPr>
            <w:r>
              <w:rPr>
                <w:rFonts w:cstheme="minorHAnsi"/>
                <w:sz w:val="18"/>
                <w:szCs w:val="24"/>
              </w:rPr>
              <w:t>203</w:t>
            </w:r>
          </w:p>
        </w:tc>
        <w:tc>
          <w:tcPr>
            <w:tcW w:w="904" w:type="dxa"/>
            <w:vAlign w:val="center"/>
          </w:tcPr>
          <w:p w14:paraId="3AFA017C" w14:textId="5E9B7929" w:rsidR="006250DA" w:rsidRPr="00504436" w:rsidRDefault="00FA4362" w:rsidP="006250DA">
            <w:pPr>
              <w:jc w:val="center"/>
              <w:rPr>
                <w:rFonts w:cstheme="minorHAnsi"/>
                <w:sz w:val="18"/>
                <w:szCs w:val="24"/>
              </w:rPr>
            </w:pPr>
            <w:r>
              <w:rPr>
                <w:rFonts w:cstheme="minorHAnsi"/>
                <w:sz w:val="18"/>
                <w:szCs w:val="24"/>
              </w:rPr>
              <w:t>69.95</w:t>
            </w:r>
          </w:p>
        </w:tc>
        <w:tc>
          <w:tcPr>
            <w:tcW w:w="680" w:type="dxa"/>
            <w:vAlign w:val="center"/>
          </w:tcPr>
          <w:p w14:paraId="2417C4D6" w14:textId="7939BB13" w:rsidR="006250DA" w:rsidRPr="00504436" w:rsidRDefault="00FA4362" w:rsidP="006250DA">
            <w:pPr>
              <w:jc w:val="center"/>
              <w:rPr>
                <w:rFonts w:cstheme="minorHAnsi"/>
                <w:sz w:val="18"/>
                <w:szCs w:val="24"/>
              </w:rPr>
            </w:pPr>
            <w:r>
              <w:rPr>
                <w:rFonts w:cstheme="minorHAnsi"/>
                <w:sz w:val="18"/>
                <w:szCs w:val="24"/>
              </w:rPr>
              <w:t>64.53</w:t>
            </w:r>
          </w:p>
        </w:tc>
        <w:tc>
          <w:tcPr>
            <w:tcW w:w="818" w:type="dxa"/>
          </w:tcPr>
          <w:p w14:paraId="3EE70548" w14:textId="0EEB8F5B" w:rsidR="006250DA" w:rsidRPr="00504436" w:rsidRDefault="00FA4362" w:rsidP="006250DA">
            <w:pPr>
              <w:jc w:val="center"/>
              <w:rPr>
                <w:rFonts w:cstheme="minorHAnsi"/>
                <w:sz w:val="18"/>
                <w:szCs w:val="24"/>
              </w:rPr>
            </w:pPr>
            <w:r>
              <w:rPr>
                <w:rFonts w:cstheme="minorHAnsi"/>
                <w:sz w:val="18"/>
                <w:szCs w:val="24"/>
              </w:rPr>
              <w:t>17.24</w:t>
            </w:r>
          </w:p>
        </w:tc>
        <w:tc>
          <w:tcPr>
            <w:tcW w:w="1170" w:type="dxa"/>
            <w:vAlign w:val="center"/>
          </w:tcPr>
          <w:p w14:paraId="3FC27632" w14:textId="2DBE6C9B" w:rsidR="006250DA" w:rsidRPr="00504436" w:rsidRDefault="00FA4362" w:rsidP="006250DA">
            <w:pPr>
              <w:jc w:val="center"/>
              <w:rPr>
                <w:rFonts w:cstheme="minorHAnsi"/>
                <w:sz w:val="18"/>
                <w:szCs w:val="24"/>
              </w:rPr>
            </w:pPr>
            <w:r>
              <w:rPr>
                <w:rFonts w:cstheme="minorHAnsi"/>
                <w:sz w:val="18"/>
                <w:szCs w:val="24"/>
              </w:rPr>
              <w:t>8.15</w:t>
            </w:r>
          </w:p>
        </w:tc>
        <w:tc>
          <w:tcPr>
            <w:tcW w:w="1260" w:type="dxa"/>
            <w:vAlign w:val="center"/>
          </w:tcPr>
          <w:p w14:paraId="223D2A3E" w14:textId="67650A7A" w:rsidR="006250DA" w:rsidRPr="00504436" w:rsidRDefault="00FA4362" w:rsidP="006250DA">
            <w:pPr>
              <w:jc w:val="center"/>
              <w:rPr>
                <w:rFonts w:cstheme="minorHAnsi"/>
                <w:sz w:val="18"/>
                <w:szCs w:val="24"/>
              </w:rPr>
            </w:pPr>
            <w:r>
              <w:rPr>
                <w:rFonts w:cstheme="minorHAnsi"/>
                <w:sz w:val="18"/>
                <w:szCs w:val="24"/>
              </w:rPr>
              <w:t>32.51</w:t>
            </w:r>
          </w:p>
        </w:tc>
        <w:tc>
          <w:tcPr>
            <w:tcW w:w="1170" w:type="dxa"/>
            <w:vAlign w:val="center"/>
          </w:tcPr>
          <w:p w14:paraId="1F8A4A57" w14:textId="28EDFC3E" w:rsidR="006250DA" w:rsidRPr="00504436" w:rsidRDefault="00FA4362" w:rsidP="006250DA">
            <w:pPr>
              <w:jc w:val="center"/>
              <w:rPr>
                <w:rFonts w:cstheme="minorHAnsi"/>
                <w:sz w:val="18"/>
                <w:szCs w:val="24"/>
              </w:rPr>
            </w:pPr>
            <w:r>
              <w:rPr>
                <w:rFonts w:cstheme="minorHAnsi"/>
                <w:sz w:val="18"/>
                <w:szCs w:val="24"/>
              </w:rPr>
              <w:t>-0.608</w:t>
            </w:r>
          </w:p>
        </w:tc>
        <w:tc>
          <w:tcPr>
            <w:tcW w:w="1170" w:type="dxa"/>
            <w:vAlign w:val="center"/>
          </w:tcPr>
          <w:p w14:paraId="1752BFD4" w14:textId="3C96FB98" w:rsidR="006250DA" w:rsidRPr="00504436" w:rsidRDefault="00FA4362" w:rsidP="006250DA">
            <w:pPr>
              <w:jc w:val="center"/>
              <w:rPr>
                <w:rFonts w:cstheme="minorHAnsi"/>
                <w:sz w:val="18"/>
                <w:szCs w:val="24"/>
              </w:rPr>
            </w:pPr>
            <w:r>
              <w:rPr>
                <w:rFonts w:cstheme="minorHAnsi"/>
                <w:sz w:val="18"/>
                <w:szCs w:val="24"/>
              </w:rPr>
              <w:t>-0.656</w:t>
            </w:r>
          </w:p>
        </w:tc>
      </w:tr>
      <w:tr w:rsidR="006250DA" w14:paraId="0FA592B9" w14:textId="77777777" w:rsidTr="007F79CB">
        <w:tc>
          <w:tcPr>
            <w:tcW w:w="9360" w:type="dxa"/>
            <w:gridSpan w:val="9"/>
            <w:vAlign w:val="center"/>
          </w:tcPr>
          <w:p w14:paraId="4BE447DC" w14:textId="1378574D" w:rsidR="006250DA" w:rsidRPr="006250DA" w:rsidRDefault="006250DA" w:rsidP="006250DA">
            <w:pPr>
              <w:jc w:val="center"/>
              <w:rPr>
                <w:rFonts w:cstheme="minorHAnsi"/>
                <w:i/>
                <w:iCs/>
                <w:sz w:val="18"/>
                <w:szCs w:val="24"/>
              </w:rPr>
            </w:pPr>
            <w:r>
              <w:rPr>
                <w:rFonts w:cstheme="minorHAnsi"/>
                <w:i/>
                <w:iCs/>
                <w:sz w:val="18"/>
                <w:szCs w:val="24"/>
              </w:rPr>
              <w:t>8</w:t>
            </w:r>
            <w:r w:rsidRPr="006250DA">
              <w:rPr>
                <w:rFonts w:cstheme="minorHAnsi"/>
                <w:i/>
                <w:iCs/>
                <w:sz w:val="18"/>
                <w:szCs w:val="24"/>
                <w:vertAlign w:val="superscript"/>
              </w:rPr>
              <w:t>th</w:t>
            </w:r>
            <w:r>
              <w:rPr>
                <w:rFonts w:cstheme="minorHAnsi"/>
                <w:i/>
                <w:iCs/>
                <w:sz w:val="18"/>
                <w:szCs w:val="24"/>
              </w:rPr>
              <w:t xml:space="preserve"> Grade</w:t>
            </w:r>
          </w:p>
        </w:tc>
      </w:tr>
      <w:tr w:rsidR="006250DA" w14:paraId="7A719560" w14:textId="77777777" w:rsidTr="006250DA">
        <w:tc>
          <w:tcPr>
            <w:tcW w:w="1326" w:type="dxa"/>
            <w:vAlign w:val="center"/>
          </w:tcPr>
          <w:p w14:paraId="656E9973" w14:textId="50C90BD7" w:rsidR="006250DA" w:rsidRDefault="006250DA" w:rsidP="006250DA">
            <w:pPr>
              <w:jc w:val="right"/>
              <w:rPr>
                <w:rFonts w:cstheme="minorHAnsi"/>
                <w:sz w:val="18"/>
                <w:szCs w:val="24"/>
              </w:rPr>
            </w:pPr>
            <w:r>
              <w:rPr>
                <w:rFonts w:cstheme="minorHAnsi"/>
                <w:sz w:val="18"/>
                <w:szCs w:val="24"/>
              </w:rPr>
              <w:t>All Students</w:t>
            </w:r>
          </w:p>
        </w:tc>
        <w:tc>
          <w:tcPr>
            <w:tcW w:w="862" w:type="dxa"/>
            <w:vAlign w:val="center"/>
          </w:tcPr>
          <w:p w14:paraId="5F01CD9B" w14:textId="72B7DDCD" w:rsidR="006250DA" w:rsidRPr="00504436" w:rsidRDefault="00DF306E" w:rsidP="006250DA">
            <w:pPr>
              <w:jc w:val="center"/>
              <w:rPr>
                <w:rFonts w:cstheme="minorHAnsi"/>
                <w:sz w:val="18"/>
                <w:szCs w:val="24"/>
              </w:rPr>
            </w:pPr>
            <w:r>
              <w:rPr>
                <w:rFonts w:cstheme="minorHAnsi"/>
                <w:sz w:val="18"/>
                <w:szCs w:val="24"/>
              </w:rPr>
              <w:t>119,337</w:t>
            </w:r>
          </w:p>
        </w:tc>
        <w:tc>
          <w:tcPr>
            <w:tcW w:w="904" w:type="dxa"/>
            <w:vAlign w:val="center"/>
          </w:tcPr>
          <w:p w14:paraId="6339A4AC" w14:textId="68C1D971" w:rsidR="006250DA" w:rsidRPr="00504436" w:rsidRDefault="00DF306E" w:rsidP="006250DA">
            <w:pPr>
              <w:jc w:val="center"/>
              <w:rPr>
                <w:rFonts w:cstheme="minorHAnsi"/>
                <w:sz w:val="18"/>
                <w:szCs w:val="24"/>
              </w:rPr>
            </w:pPr>
            <w:r>
              <w:rPr>
                <w:rFonts w:cstheme="minorHAnsi"/>
                <w:sz w:val="18"/>
                <w:szCs w:val="24"/>
              </w:rPr>
              <w:t>51.68</w:t>
            </w:r>
          </w:p>
        </w:tc>
        <w:tc>
          <w:tcPr>
            <w:tcW w:w="680" w:type="dxa"/>
            <w:vAlign w:val="center"/>
          </w:tcPr>
          <w:p w14:paraId="356F53DF" w14:textId="0A3261A6" w:rsidR="006250DA" w:rsidRPr="00504436" w:rsidRDefault="00DF306E" w:rsidP="006250DA">
            <w:pPr>
              <w:jc w:val="center"/>
              <w:rPr>
                <w:rFonts w:cstheme="minorHAnsi"/>
                <w:sz w:val="18"/>
                <w:szCs w:val="24"/>
              </w:rPr>
            </w:pPr>
            <w:r>
              <w:rPr>
                <w:rFonts w:cstheme="minorHAnsi"/>
                <w:sz w:val="18"/>
                <w:szCs w:val="24"/>
              </w:rPr>
              <w:t>44.14</w:t>
            </w:r>
          </w:p>
        </w:tc>
        <w:tc>
          <w:tcPr>
            <w:tcW w:w="818" w:type="dxa"/>
          </w:tcPr>
          <w:p w14:paraId="0AF14F62" w14:textId="48163ACB" w:rsidR="006250DA" w:rsidRPr="00504436" w:rsidRDefault="00DF306E" w:rsidP="006250DA">
            <w:pPr>
              <w:jc w:val="center"/>
              <w:rPr>
                <w:rFonts w:cstheme="minorHAnsi"/>
                <w:sz w:val="18"/>
                <w:szCs w:val="24"/>
              </w:rPr>
            </w:pPr>
            <w:r>
              <w:rPr>
                <w:rFonts w:cstheme="minorHAnsi"/>
                <w:sz w:val="18"/>
                <w:szCs w:val="24"/>
              </w:rPr>
              <w:t>14.69</w:t>
            </w:r>
          </w:p>
        </w:tc>
        <w:tc>
          <w:tcPr>
            <w:tcW w:w="1170" w:type="dxa"/>
            <w:vAlign w:val="center"/>
          </w:tcPr>
          <w:p w14:paraId="667F0D02" w14:textId="204D515E" w:rsidR="006250DA" w:rsidRPr="00504436" w:rsidRDefault="00DF306E" w:rsidP="006250DA">
            <w:pPr>
              <w:jc w:val="center"/>
              <w:rPr>
                <w:rFonts w:cstheme="minorHAnsi"/>
                <w:sz w:val="18"/>
                <w:szCs w:val="24"/>
              </w:rPr>
            </w:pPr>
            <w:r>
              <w:rPr>
                <w:rFonts w:cstheme="minorHAnsi"/>
                <w:sz w:val="18"/>
                <w:szCs w:val="24"/>
              </w:rPr>
              <w:t>8.90</w:t>
            </w:r>
          </w:p>
        </w:tc>
        <w:tc>
          <w:tcPr>
            <w:tcW w:w="1260" w:type="dxa"/>
            <w:vAlign w:val="center"/>
          </w:tcPr>
          <w:p w14:paraId="3322FE96" w14:textId="36615818" w:rsidR="006250DA" w:rsidRPr="00504436" w:rsidRDefault="00DF306E" w:rsidP="006250DA">
            <w:pPr>
              <w:jc w:val="center"/>
              <w:rPr>
                <w:rFonts w:cstheme="minorHAnsi"/>
                <w:sz w:val="18"/>
                <w:szCs w:val="24"/>
              </w:rPr>
            </w:pPr>
            <w:r>
              <w:rPr>
                <w:rFonts w:cstheme="minorHAnsi"/>
                <w:sz w:val="18"/>
                <w:szCs w:val="24"/>
              </w:rPr>
              <w:t>19.41</w:t>
            </w:r>
          </w:p>
        </w:tc>
        <w:tc>
          <w:tcPr>
            <w:tcW w:w="1170" w:type="dxa"/>
            <w:vAlign w:val="center"/>
          </w:tcPr>
          <w:p w14:paraId="608D99CE" w14:textId="2BCE856E" w:rsidR="006250DA" w:rsidRPr="00504436" w:rsidRDefault="00DF306E" w:rsidP="006250DA">
            <w:pPr>
              <w:jc w:val="center"/>
              <w:rPr>
                <w:rFonts w:cstheme="minorHAnsi"/>
                <w:sz w:val="18"/>
                <w:szCs w:val="24"/>
              </w:rPr>
            </w:pPr>
            <w:r>
              <w:rPr>
                <w:rFonts w:cstheme="minorHAnsi"/>
                <w:sz w:val="18"/>
                <w:szCs w:val="24"/>
              </w:rPr>
              <w:t>0.011</w:t>
            </w:r>
          </w:p>
        </w:tc>
        <w:tc>
          <w:tcPr>
            <w:tcW w:w="1170" w:type="dxa"/>
            <w:vAlign w:val="center"/>
          </w:tcPr>
          <w:p w14:paraId="33526175" w14:textId="66D42F66" w:rsidR="006250DA" w:rsidRPr="00504436" w:rsidRDefault="00DF306E" w:rsidP="006250DA">
            <w:pPr>
              <w:jc w:val="center"/>
              <w:rPr>
                <w:rFonts w:cstheme="minorHAnsi"/>
                <w:sz w:val="18"/>
                <w:szCs w:val="24"/>
              </w:rPr>
            </w:pPr>
            <w:r>
              <w:rPr>
                <w:rFonts w:cstheme="minorHAnsi"/>
                <w:sz w:val="18"/>
                <w:szCs w:val="24"/>
              </w:rPr>
              <w:t>0.012</w:t>
            </w:r>
          </w:p>
        </w:tc>
      </w:tr>
      <w:tr w:rsidR="006250DA" w14:paraId="0AB85166" w14:textId="77777777" w:rsidTr="006250DA">
        <w:tc>
          <w:tcPr>
            <w:tcW w:w="1326" w:type="dxa"/>
            <w:vAlign w:val="center"/>
          </w:tcPr>
          <w:p w14:paraId="0ABCD9FA" w14:textId="4BD81ECE" w:rsidR="006250DA" w:rsidRDefault="006250DA" w:rsidP="006250DA">
            <w:pPr>
              <w:jc w:val="right"/>
              <w:rPr>
                <w:rFonts w:cstheme="minorHAnsi"/>
                <w:sz w:val="18"/>
                <w:szCs w:val="24"/>
              </w:rPr>
            </w:pPr>
            <w:r>
              <w:rPr>
                <w:rFonts w:cstheme="minorHAnsi"/>
                <w:sz w:val="18"/>
                <w:szCs w:val="24"/>
              </w:rPr>
              <w:t>Lab Schools</w:t>
            </w:r>
          </w:p>
        </w:tc>
        <w:tc>
          <w:tcPr>
            <w:tcW w:w="862" w:type="dxa"/>
            <w:vAlign w:val="center"/>
          </w:tcPr>
          <w:p w14:paraId="0A030512" w14:textId="0ED4EBBB" w:rsidR="006250DA" w:rsidRPr="00504436" w:rsidRDefault="00FA4362" w:rsidP="006250DA">
            <w:pPr>
              <w:jc w:val="center"/>
              <w:rPr>
                <w:rFonts w:cstheme="minorHAnsi"/>
                <w:sz w:val="18"/>
                <w:szCs w:val="24"/>
              </w:rPr>
            </w:pPr>
            <w:r>
              <w:rPr>
                <w:rFonts w:cstheme="minorHAnsi"/>
                <w:sz w:val="18"/>
                <w:szCs w:val="24"/>
              </w:rPr>
              <w:t>51</w:t>
            </w:r>
          </w:p>
        </w:tc>
        <w:tc>
          <w:tcPr>
            <w:tcW w:w="904" w:type="dxa"/>
            <w:vAlign w:val="center"/>
          </w:tcPr>
          <w:p w14:paraId="30E62E53" w14:textId="0926FD0C" w:rsidR="006250DA" w:rsidRPr="00504436" w:rsidRDefault="00FA4362" w:rsidP="006250DA">
            <w:pPr>
              <w:jc w:val="center"/>
              <w:rPr>
                <w:rFonts w:cstheme="minorHAnsi"/>
                <w:sz w:val="18"/>
                <w:szCs w:val="24"/>
              </w:rPr>
            </w:pPr>
            <w:r>
              <w:rPr>
                <w:rFonts w:cstheme="minorHAnsi"/>
                <w:sz w:val="18"/>
                <w:szCs w:val="24"/>
              </w:rPr>
              <w:t>64.71</w:t>
            </w:r>
          </w:p>
        </w:tc>
        <w:tc>
          <w:tcPr>
            <w:tcW w:w="680" w:type="dxa"/>
            <w:vAlign w:val="center"/>
          </w:tcPr>
          <w:p w14:paraId="098BF521" w14:textId="2D748681" w:rsidR="006250DA" w:rsidRPr="00504436" w:rsidRDefault="00FA4362" w:rsidP="006250DA">
            <w:pPr>
              <w:jc w:val="center"/>
              <w:rPr>
                <w:rFonts w:cstheme="minorHAnsi"/>
                <w:sz w:val="18"/>
                <w:szCs w:val="24"/>
              </w:rPr>
            </w:pPr>
            <w:r>
              <w:rPr>
                <w:rFonts w:cstheme="minorHAnsi"/>
                <w:sz w:val="18"/>
                <w:szCs w:val="24"/>
              </w:rPr>
              <w:t>68.63</w:t>
            </w:r>
          </w:p>
        </w:tc>
        <w:tc>
          <w:tcPr>
            <w:tcW w:w="818" w:type="dxa"/>
          </w:tcPr>
          <w:p w14:paraId="5947B7B2" w14:textId="37E42245" w:rsidR="006250DA" w:rsidRPr="00504436" w:rsidRDefault="00FA4362" w:rsidP="006250DA">
            <w:pPr>
              <w:jc w:val="center"/>
              <w:rPr>
                <w:rFonts w:cstheme="minorHAnsi"/>
                <w:sz w:val="18"/>
                <w:szCs w:val="24"/>
              </w:rPr>
            </w:pPr>
            <w:r>
              <w:rPr>
                <w:rFonts w:cstheme="minorHAnsi"/>
                <w:sz w:val="18"/>
                <w:szCs w:val="24"/>
              </w:rPr>
              <w:t>31.37</w:t>
            </w:r>
          </w:p>
        </w:tc>
        <w:tc>
          <w:tcPr>
            <w:tcW w:w="1170" w:type="dxa"/>
            <w:vAlign w:val="center"/>
          </w:tcPr>
          <w:p w14:paraId="2F5F1729" w14:textId="2FD721CE" w:rsidR="006250DA" w:rsidRPr="00504436" w:rsidRDefault="00FA4362" w:rsidP="006250DA">
            <w:pPr>
              <w:jc w:val="center"/>
              <w:rPr>
                <w:rFonts w:cstheme="minorHAnsi"/>
                <w:sz w:val="18"/>
                <w:szCs w:val="24"/>
              </w:rPr>
            </w:pPr>
            <w:r>
              <w:rPr>
                <w:rFonts w:cstheme="minorHAnsi"/>
                <w:sz w:val="18"/>
                <w:szCs w:val="24"/>
              </w:rPr>
              <w:t>11.02</w:t>
            </w:r>
          </w:p>
        </w:tc>
        <w:tc>
          <w:tcPr>
            <w:tcW w:w="1260" w:type="dxa"/>
            <w:vAlign w:val="center"/>
          </w:tcPr>
          <w:p w14:paraId="6E083E28" w14:textId="12EBFEAE" w:rsidR="006250DA" w:rsidRPr="00504436" w:rsidRDefault="00FA4362" w:rsidP="006250DA">
            <w:pPr>
              <w:jc w:val="center"/>
              <w:rPr>
                <w:rFonts w:cstheme="minorHAnsi"/>
                <w:sz w:val="18"/>
                <w:szCs w:val="24"/>
              </w:rPr>
            </w:pPr>
            <w:r>
              <w:rPr>
                <w:rFonts w:cstheme="minorHAnsi"/>
                <w:sz w:val="18"/>
                <w:szCs w:val="24"/>
              </w:rPr>
              <w:t>41.18</w:t>
            </w:r>
          </w:p>
        </w:tc>
        <w:tc>
          <w:tcPr>
            <w:tcW w:w="1170" w:type="dxa"/>
            <w:vAlign w:val="center"/>
          </w:tcPr>
          <w:p w14:paraId="4D45828F" w14:textId="45DDAC89" w:rsidR="006250DA" w:rsidRPr="00504436" w:rsidRDefault="00FA4362" w:rsidP="006250DA">
            <w:pPr>
              <w:jc w:val="center"/>
              <w:rPr>
                <w:rFonts w:cstheme="minorHAnsi"/>
                <w:sz w:val="18"/>
                <w:szCs w:val="24"/>
              </w:rPr>
            </w:pPr>
            <w:r>
              <w:rPr>
                <w:rFonts w:cstheme="minorHAnsi"/>
                <w:sz w:val="18"/>
                <w:szCs w:val="24"/>
              </w:rPr>
              <w:t>-0.375</w:t>
            </w:r>
          </w:p>
        </w:tc>
        <w:tc>
          <w:tcPr>
            <w:tcW w:w="1170" w:type="dxa"/>
            <w:vAlign w:val="center"/>
          </w:tcPr>
          <w:p w14:paraId="7EAE95DE" w14:textId="1EE28B16" w:rsidR="006250DA" w:rsidRPr="00504436" w:rsidRDefault="00FA4362" w:rsidP="006250DA">
            <w:pPr>
              <w:jc w:val="center"/>
              <w:rPr>
                <w:rFonts w:cstheme="minorHAnsi"/>
                <w:sz w:val="18"/>
                <w:szCs w:val="24"/>
              </w:rPr>
            </w:pPr>
            <w:r>
              <w:rPr>
                <w:rFonts w:cstheme="minorHAnsi"/>
                <w:sz w:val="18"/>
                <w:szCs w:val="24"/>
              </w:rPr>
              <w:t>-0.590</w:t>
            </w:r>
          </w:p>
        </w:tc>
      </w:tr>
      <w:tr w:rsidR="006250DA" w14:paraId="37B31170" w14:textId="77777777" w:rsidTr="006250DA">
        <w:tc>
          <w:tcPr>
            <w:tcW w:w="1326" w:type="dxa"/>
            <w:vAlign w:val="center"/>
          </w:tcPr>
          <w:p w14:paraId="029F176B" w14:textId="3D22ADA9" w:rsidR="006250DA" w:rsidRDefault="006250DA" w:rsidP="006250DA">
            <w:pPr>
              <w:jc w:val="right"/>
              <w:rPr>
                <w:rFonts w:cstheme="minorHAnsi"/>
                <w:sz w:val="18"/>
                <w:szCs w:val="24"/>
              </w:rPr>
            </w:pPr>
            <w:r>
              <w:rPr>
                <w:rFonts w:cstheme="minorHAnsi"/>
                <w:sz w:val="18"/>
                <w:szCs w:val="24"/>
              </w:rPr>
              <w:t>Matched</w:t>
            </w:r>
          </w:p>
        </w:tc>
        <w:tc>
          <w:tcPr>
            <w:tcW w:w="862" w:type="dxa"/>
            <w:vAlign w:val="center"/>
          </w:tcPr>
          <w:p w14:paraId="2C522476" w14:textId="130DCE50" w:rsidR="006250DA" w:rsidRPr="00504436" w:rsidRDefault="00FA4362" w:rsidP="006250DA">
            <w:pPr>
              <w:jc w:val="center"/>
              <w:rPr>
                <w:rFonts w:cstheme="minorHAnsi"/>
                <w:sz w:val="18"/>
                <w:szCs w:val="24"/>
              </w:rPr>
            </w:pPr>
            <w:r>
              <w:rPr>
                <w:rFonts w:cstheme="minorHAnsi"/>
                <w:sz w:val="18"/>
                <w:szCs w:val="24"/>
              </w:rPr>
              <w:t>198</w:t>
            </w:r>
          </w:p>
        </w:tc>
        <w:tc>
          <w:tcPr>
            <w:tcW w:w="904" w:type="dxa"/>
            <w:vAlign w:val="center"/>
          </w:tcPr>
          <w:p w14:paraId="664D8C5F" w14:textId="3DC3A760" w:rsidR="006250DA" w:rsidRPr="00504436" w:rsidRDefault="00FA4362" w:rsidP="006250DA">
            <w:pPr>
              <w:jc w:val="center"/>
              <w:rPr>
                <w:rFonts w:cstheme="minorHAnsi"/>
                <w:sz w:val="18"/>
                <w:szCs w:val="24"/>
              </w:rPr>
            </w:pPr>
            <w:r>
              <w:rPr>
                <w:rFonts w:cstheme="minorHAnsi"/>
                <w:sz w:val="18"/>
                <w:szCs w:val="24"/>
              </w:rPr>
              <w:t>67.17</w:t>
            </w:r>
          </w:p>
        </w:tc>
        <w:tc>
          <w:tcPr>
            <w:tcW w:w="680" w:type="dxa"/>
            <w:vAlign w:val="center"/>
          </w:tcPr>
          <w:p w14:paraId="480F109F" w14:textId="2DF02318" w:rsidR="006250DA" w:rsidRPr="00504436" w:rsidRDefault="00FA4362" w:rsidP="006250DA">
            <w:pPr>
              <w:jc w:val="center"/>
              <w:rPr>
                <w:rFonts w:cstheme="minorHAnsi"/>
                <w:sz w:val="18"/>
                <w:szCs w:val="24"/>
              </w:rPr>
            </w:pPr>
            <w:r>
              <w:rPr>
                <w:rFonts w:cstheme="minorHAnsi"/>
                <w:sz w:val="18"/>
                <w:szCs w:val="24"/>
              </w:rPr>
              <w:t>67.17</w:t>
            </w:r>
          </w:p>
        </w:tc>
        <w:tc>
          <w:tcPr>
            <w:tcW w:w="818" w:type="dxa"/>
          </w:tcPr>
          <w:p w14:paraId="04FD8420" w14:textId="7EA1E90D" w:rsidR="006250DA" w:rsidRPr="00504436" w:rsidRDefault="00FA4362" w:rsidP="006250DA">
            <w:pPr>
              <w:jc w:val="center"/>
              <w:rPr>
                <w:rFonts w:cstheme="minorHAnsi"/>
                <w:sz w:val="18"/>
                <w:szCs w:val="24"/>
              </w:rPr>
            </w:pPr>
            <w:r>
              <w:rPr>
                <w:rFonts w:cstheme="minorHAnsi"/>
                <w:sz w:val="18"/>
                <w:szCs w:val="24"/>
              </w:rPr>
              <w:t>23.23</w:t>
            </w:r>
          </w:p>
        </w:tc>
        <w:tc>
          <w:tcPr>
            <w:tcW w:w="1170" w:type="dxa"/>
            <w:vAlign w:val="center"/>
          </w:tcPr>
          <w:p w14:paraId="0CC2635F" w14:textId="32C6BE37" w:rsidR="006250DA" w:rsidRPr="00504436" w:rsidRDefault="00FA4362" w:rsidP="006250DA">
            <w:pPr>
              <w:jc w:val="center"/>
              <w:rPr>
                <w:rFonts w:cstheme="minorHAnsi"/>
                <w:sz w:val="18"/>
                <w:szCs w:val="24"/>
              </w:rPr>
            </w:pPr>
            <w:r>
              <w:rPr>
                <w:rFonts w:cstheme="minorHAnsi"/>
                <w:sz w:val="18"/>
                <w:szCs w:val="24"/>
              </w:rPr>
              <w:t>11.35</w:t>
            </w:r>
          </w:p>
        </w:tc>
        <w:tc>
          <w:tcPr>
            <w:tcW w:w="1260" w:type="dxa"/>
            <w:vAlign w:val="center"/>
          </w:tcPr>
          <w:p w14:paraId="186AD947" w14:textId="69D56EEA" w:rsidR="006250DA" w:rsidRPr="00504436" w:rsidRDefault="00FA4362" w:rsidP="006250DA">
            <w:pPr>
              <w:jc w:val="center"/>
              <w:rPr>
                <w:rFonts w:cstheme="minorHAnsi"/>
                <w:sz w:val="18"/>
                <w:szCs w:val="24"/>
              </w:rPr>
            </w:pPr>
            <w:r>
              <w:rPr>
                <w:rFonts w:cstheme="minorHAnsi"/>
                <w:sz w:val="18"/>
                <w:szCs w:val="24"/>
              </w:rPr>
              <w:t>48.99</w:t>
            </w:r>
          </w:p>
        </w:tc>
        <w:tc>
          <w:tcPr>
            <w:tcW w:w="1170" w:type="dxa"/>
            <w:vAlign w:val="center"/>
          </w:tcPr>
          <w:p w14:paraId="561E413F" w14:textId="19EB3337" w:rsidR="006250DA" w:rsidRPr="00504436" w:rsidRDefault="00FA4362" w:rsidP="006250DA">
            <w:pPr>
              <w:jc w:val="center"/>
              <w:rPr>
                <w:rFonts w:cstheme="minorHAnsi"/>
                <w:sz w:val="18"/>
                <w:szCs w:val="24"/>
              </w:rPr>
            </w:pPr>
            <w:r>
              <w:rPr>
                <w:rFonts w:cstheme="minorHAnsi"/>
                <w:sz w:val="18"/>
                <w:szCs w:val="24"/>
              </w:rPr>
              <w:t>-0.283</w:t>
            </w:r>
          </w:p>
        </w:tc>
        <w:tc>
          <w:tcPr>
            <w:tcW w:w="1170" w:type="dxa"/>
            <w:vAlign w:val="center"/>
          </w:tcPr>
          <w:p w14:paraId="61BA0086" w14:textId="1CBE0DC8" w:rsidR="006250DA" w:rsidRPr="00504436" w:rsidRDefault="00FA4362" w:rsidP="006250DA">
            <w:pPr>
              <w:jc w:val="center"/>
              <w:rPr>
                <w:rFonts w:cstheme="minorHAnsi"/>
                <w:sz w:val="18"/>
                <w:szCs w:val="24"/>
              </w:rPr>
            </w:pPr>
            <w:r>
              <w:rPr>
                <w:rFonts w:cstheme="minorHAnsi"/>
                <w:sz w:val="18"/>
                <w:szCs w:val="24"/>
              </w:rPr>
              <w:t>-0.464</w:t>
            </w:r>
          </w:p>
        </w:tc>
      </w:tr>
    </w:tbl>
    <w:p w14:paraId="5AB77BD0" w14:textId="2D426296" w:rsidR="006250DA" w:rsidRDefault="004A191B" w:rsidP="004A191B">
      <w:pPr>
        <w:spacing w:after="0" w:line="240" w:lineRule="auto"/>
        <w:jc w:val="both"/>
        <w:rPr>
          <w:rFonts w:cstheme="minorHAnsi"/>
          <w:i/>
          <w:sz w:val="16"/>
          <w:szCs w:val="24"/>
        </w:rPr>
      </w:pPr>
      <w:r>
        <w:rPr>
          <w:rFonts w:cstheme="minorHAnsi"/>
          <w:i/>
          <w:sz w:val="16"/>
          <w:szCs w:val="24"/>
        </w:rPr>
        <w:t>Note: This table displays student demographics, prior year absence and suspension, and prior year test scores for all students, students</w:t>
      </w:r>
      <w:r w:rsidR="006250DA">
        <w:rPr>
          <w:rFonts w:cstheme="minorHAnsi"/>
          <w:i/>
          <w:sz w:val="16"/>
          <w:szCs w:val="24"/>
        </w:rPr>
        <w:t xml:space="preserve"> at UNC System laboratory schools, and matched comparison sample students. The Evaluation Team used propensity score analyses to match laboratory school students to more comparable students. Not all laboratory school students have the prior year data required for these matches.</w:t>
      </w:r>
    </w:p>
    <w:p w14:paraId="776BE873" w14:textId="77777777" w:rsidR="006250DA" w:rsidRDefault="006250DA" w:rsidP="004A191B">
      <w:pPr>
        <w:spacing w:after="0" w:line="240" w:lineRule="auto"/>
        <w:jc w:val="both"/>
        <w:rPr>
          <w:rFonts w:cstheme="minorHAnsi"/>
          <w:i/>
          <w:sz w:val="16"/>
          <w:szCs w:val="24"/>
        </w:rPr>
      </w:pPr>
    </w:p>
    <w:p w14:paraId="002E4E5E" w14:textId="77777777" w:rsidR="004A191B" w:rsidRDefault="004A191B" w:rsidP="003D72A6">
      <w:pPr>
        <w:pStyle w:val="Heading1"/>
        <w:rPr>
          <w:rFonts w:asciiTheme="minorHAnsi" w:hAnsiTheme="minorHAnsi" w:cstheme="minorHAnsi"/>
          <w:color w:val="auto"/>
        </w:rPr>
      </w:pPr>
    </w:p>
    <w:p w14:paraId="52302DA6" w14:textId="2934C2DA" w:rsidR="004A191B" w:rsidRDefault="004A191B" w:rsidP="004A191B"/>
    <w:p w14:paraId="6823E841" w14:textId="77777777" w:rsidR="004A191B" w:rsidRDefault="004A191B" w:rsidP="004A191B"/>
    <w:p w14:paraId="3E1C7E30" w14:textId="77777777" w:rsidR="0013723A" w:rsidRPr="004A191B" w:rsidRDefault="0013723A" w:rsidP="004A191B"/>
    <w:bookmarkEnd w:id="20"/>
    <w:p w14:paraId="2A031C5B" w14:textId="77777777" w:rsidR="00ED1195" w:rsidRDefault="00ED1195" w:rsidP="00557B66">
      <w:pPr>
        <w:spacing w:after="0" w:line="240" w:lineRule="auto"/>
        <w:jc w:val="both"/>
        <w:rPr>
          <w:rFonts w:cstheme="minorHAnsi"/>
          <w:szCs w:val="24"/>
        </w:rPr>
      </w:pPr>
    </w:p>
    <w:sectPr w:rsidR="00ED1195" w:rsidSect="00380E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B4BF5" w14:textId="77777777" w:rsidR="00622035" w:rsidRDefault="00622035" w:rsidP="00B606BD">
      <w:pPr>
        <w:spacing w:after="0" w:line="240" w:lineRule="auto"/>
      </w:pPr>
      <w:r>
        <w:separator/>
      </w:r>
    </w:p>
  </w:endnote>
  <w:endnote w:type="continuationSeparator" w:id="0">
    <w:p w14:paraId="1B9D1458" w14:textId="77777777" w:rsidR="00622035" w:rsidRDefault="00622035" w:rsidP="00B606BD">
      <w:pPr>
        <w:spacing w:after="0" w:line="240" w:lineRule="auto"/>
      </w:pPr>
      <w:r>
        <w:continuationSeparator/>
      </w:r>
    </w:p>
  </w:endnote>
  <w:endnote w:type="continuationNotice" w:id="1">
    <w:p w14:paraId="5EE55FD9" w14:textId="77777777" w:rsidR="00622035" w:rsidRDefault="006220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A8054" w14:textId="09E58DA6" w:rsidR="00EF1144" w:rsidRDefault="00EF1144">
    <w:pPr>
      <w:pStyle w:val="Footer"/>
      <w:jc w:val="right"/>
    </w:pPr>
  </w:p>
  <w:p w14:paraId="7D91E7FE" w14:textId="6BE603C4" w:rsidR="00EF1144" w:rsidRDefault="00EF1144">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6059499"/>
      <w:docPartObj>
        <w:docPartGallery w:val="Page Numbers (Bottom of Page)"/>
        <w:docPartUnique/>
      </w:docPartObj>
    </w:sdtPr>
    <w:sdtEndPr>
      <w:rPr>
        <w:noProof/>
      </w:rPr>
    </w:sdtEndPr>
    <w:sdtContent>
      <w:p w14:paraId="570E2A69" w14:textId="73D2274C" w:rsidR="00EF1144" w:rsidRDefault="00EF1144">
        <w:pPr>
          <w:pStyle w:val="Footer"/>
          <w:jc w:val="right"/>
        </w:pPr>
        <w:r>
          <w:fldChar w:fldCharType="begin"/>
        </w:r>
        <w:r>
          <w:instrText xml:space="preserve"> PAGE   \* MERGEFORMAT </w:instrText>
        </w:r>
        <w:r>
          <w:fldChar w:fldCharType="separate"/>
        </w:r>
        <w:r>
          <w:rPr>
            <w:noProof/>
          </w:rPr>
          <w:t>55</w:t>
        </w:r>
        <w:r>
          <w:rPr>
            <w:noProof/>
          </w:rPr>
          <w:fldChar w:fldCharType="end"/>
        </w:r>
      </w:p>
    </w:sdtContent>
  </w:sdt>
  <w:p w14:paraId="557DF475" w14:textId="77777777" w:rsidR="00EF1144" w:rsidRDefault="00EF114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5332D" w14:textId="77777777" w:rsidR="00622035" w:rsidRDefault="00622035" w:rsidP="00B606BD">
      <w:pPr>
        <w:spacing w:after="0" w:line="240" w:lineRule="auto"/>
      </w:pPr>
      <w:r>
        <w:separator/>
      </w:r>
    </w:p>
  </w:footnote>
  <w:footnote w:type="continuationSeparator" w:id="0">
    <w:p w14:paraId="61D8B1E0" w14:textId="77777777" w:rsidR="00622035" w:rsidRDefault="00622035" w:rsidP="00B606BD">
      <w:pPr>
        <w:spacing w:after="0" w:line="240" w:lineRule="auto"/>
      </w:pPr>
      <w:r>
        <w:continuationSeparator/>
      </w:r>
    </w:p>
  </w:footnote>
  <w:footnote w:type="continuationNotice" w:id="1">
    <w:p w14:paraId="4007D516" w14:textId="77777777" w:rsidR="00622035" w:rsidRDefault="00622035">
      <w:pPr>
        <w:spacing w:after="0" w:line="240" w:lineRule="auto"/>
      </w:pPr>
    </w:p>
  </w:footnote>
  <w:footnote w:id="2">
    <w:p w14:paraId="3A2C271F" w14:textId="614ED346" w:rsidR="00EF1144" w:rsidRPr="00853C67" w:rsidRDefault="00EF1144" w:rsidP="003D2FB7">
      <w:pPr>
        <w:pStyle w:val="FootnoteText"/>
        <w:jc w:val="both"/>
        <w:rPr>
          <w:rFonts w:cstheme="minorHAnsi"/>
        </w:rPr>
      </w:pPr>
      <w:r w:rsidRPr="0065340E">
        <w:rPr>
          <w:rStyle w:val="FootnoteReference"/>
          <w:rFonts w:ascii="Times New Roman" w:hAnsi="Times New Roman" w:cs="Times New Roman"/>
        </w:rPr>
        <w:footnoteRef/>
      </w:r>
      <w:r w:rsidRPr="0065340E">
        <w:rPr>
          <w:rFonts w:ascii="Times New Roman" w:hAnsi="Times New Roman" w:cs="Times New Roman"/>
        </w:rPr>
        <w:t xml:space="preserve"> </w:t>
      </w:r>
      <w:r w:rsidRPr="00853C67">
        <w:rPr>
          <w:rFonts w:cstheme="minorHAnsi"/>
        </w:rPr>
        <w:t>N.C.G.S. §116-239.5(a).</w:t>
      </w:r>
    </w:p>
  </w:footnote>
  <w:footnote w:id="3">
    <w:p w14:paraId="75FCF9D9" w14:textId="471873B5" w:rsidR="00EF1144" w:rsidRPr="002C0C83" w:rsidRDefault="00EF1144" w:rsidP="003D2FB7">
      <w:pPr>
        <w:pStyle w:val="FootnoteText"/>
        <w:jc w:val="both"/>
        <w:rPr>
          <w:rFonts w:cstheme="minorHAnsi"/>
        </w:rPr>
      </w:pPr>
      <w:r w:rsidRPr="002C0C83">
        <w:rPr>
          <w:rStyle w:val="FootnoteReference"/>
          <w:rFonts w:cstheme="minorHAnsi"/>
        </w:rPr>
        <w:footnoteRef/>
      </w:r>
      <w:r w:rsidRPr="002C0C83">
        <w:rPr>
          <w:rFonts w:cstheme="minorHAnsi"/>
        </w:rPr>
        <w:t xml:space="preserve"> </w:t>
      </w:r>
      <w:r>
        <w:rPr>
          <w:rFonts w:cstheme="minorHAnsi"/>
        </w:rPr>
        <w:t>N.C.</w:t>
      </w:r>
      <w:r w:rsidRPr="002C0C83">
        <w:rPr>
          <w:rFonts w:eastAsia="Arial" w:cstheme="minorHAnsi"/>
          <w:color w:val="000000"/>
        </w:rPr>
        <w:t>G.S. 116-239.5(b)</w:t>
      </w:r>
      <w:r>
        <w:rPr>
          <w:rFonts w:eastAsia="Arial" w:cstheme="minorHAnsi"/>
          <w:color w:val="000000"/>
        </w:rPr>
        <w:t>.</w:t>
      </w:r>
    </w:p>
  </w:footnote>
  <w:footnote w:id="4">
    <w:p w14:paraId="23D974C3" w14:textId="0412792F" w:rsidR="00EF1144" w:rsidRPr="00853C67" w:rsidRDefault="00EF1144" w:rsidP="003D2FB7">
      <w:pPr>
        <w:pStyle w:val="FootnoteText"/>
        <w:jc w:val="both"/>
        <w:rPr>
          <w:rFonts w:cstheme="minorHAnsi"/>
        </w:rPr>
      </w:pPr>
      <w:r w:rsidRPr="00853C67">
        <w:rPr>
          <w:rStyle w:val="FootnoteReference"/>
          <w:rFonts w:cstheme="minorHAnsi"/>
        </w:rPr>
        <w:footnoteRef/>
      </w:r>
      <w:r w:rsidRPr="00853C67">
        <w:rPr>
          <w:rFonts w:cstheme="minorHAnsi"/>
        </w:rPr>
        <w:t xml:space="preserve"> The University of North Carolina System. (n.d.) “UNC Laboratory Schools.” Retrieved from </w:t>
      </w:r>
      <w:r>
        <w:rPr>
          <w:rFonts w:cstheme="minorHAnsi"/>
        </w:rPr>
        <w:t xml:space="preserve">  </w:t>
      </w:r>
      <w:hyperlink r:id="rId1" w:history="1">
        <w:r w:rsidRPr="00853C67">
          <w:rPr>
            <w:rStyle w:val="Hyperlink"/>
            <w:rFonts w:cstheme="minorHAnsi"/>
          </w:rPr>
          <w:t>https://www.northcarolina.edu/unc-lab-schools</w:t>
        </w:r>
      </w:hyperlink>
      <w:r w:rsidRPr="00853C67">
        <w:rPr>
          <w:rFonts w:cstheme="minorHAnsi"/>
        </w:rPr>
        <w:t xml:space="preserve"> </w:t>
      </w:r>
    </w:p>
  </w:footnote>
  <w:footnote w:id="5">
    <w:p w14:paraId="368092DF" w14:textId="487E8AE5" w:rsidR="00EF1144" w:rsidRDefault="00EF1144" w:rsidP="003D2FB7">
      <w:pPr>
        <w:pStyle w:val="FootnoteText"/>
        <w:jc w:val="both"/>
      </w:pPr>
      <w:r>
        <w:rPr>
          <w:rStyle w:val="FootnoteReference"/>
        </w:rPr>
        <w:footnoteRef/>
      </w:r>
      <w:r>
        <w:t xml:space="preserve"> Session Law 2020-56 amended N.C.G.S. </w:t>
      </w:r>
      <w:r>
        <w:rPr>
          <w:rFonts w:cstheme="minorHAnsi"/>
        </w:rPr>
        <w:t xml:space="preserve">§§ 116-239.7 (a1) to require the establishment of at least nine laboratory schools. Previously the laboratory school law required that nine constituent UNC System institutions with high-quality educator preparation </w:t>
      </w:r>
      <w:proofErr w:type="gramStart"/>
      <w:r>
        <w:rPr>
          <w:rFonts w:cstheme="minorHAnsi"/>
        </w:rPr>
        <w:t>programs  establish</w:t>
      </w:r>
      <w:proofErr w:type="gramEnd"/>
      <w:r>
        <w:rPr>
          <w:rFonts w:cstheme="minorHAnsi"/>
        </w:rPr>
        <w:t xml:space="preserve"> laboratory schools. S.L. 2020-56 amended Section 11.6(d) of S.L. 2017-117 to require the establishment of at least six laboratory schools by the beginning of the 2020-21 school year and at least an additional three laboratory schools by the 2022-23 school year.</w:t>
      </w:r>
    </w:p>
  </w:footnote>
  <w:footnote w:id="6">
    <w:p w14:paraId="227D31C5" w14:textId="203A7854" w:rsidR="00EF1144" w:rsidRDefault="00EF1144" w:rsidP="003D2FB7">
      <w:pPr>
        <w:pStyle w:val="FootnoteText"/>
        <w:jc w:val="both"/>
      </w:pPr>
      <w:r>
        <w:rPr>
          <w:rStyle w:val="FootnoteReference"/>
        </w:rPr>
        <w:footnoteRef/>
      </w:r>
      <w:r>
        <w:t xml:space="preserve"> </w:t>
      </w:r>
      <w:bookmarkStart w:id="2" w:name="_Hlk48753880"/>
      <w:r>
        <w:t xml:space="preserve">Session Law 2020-56 amended N.C.G.S. </w:t>
      </w:r>
      <w:r>
        <w:rPr>
          <w:rFonts w:cstheme="minorHAnsi"/>
        </w:rPr>
        <w:t>§</w:t>
      </w:r>
      <w:r>
        <w:t>116-239.7(a2) to increase the number of waivers the UNC Board of Governors Subcommittee on Laboratory Schools may grant from three to six.</w:t>
      </w:r>
      <w:bookmarkEnd w:id="2"/>
    </w:p>
  </w:footnote>
  <w:footnote w:id="7">
    <w:p w14:paraId="1C17F78E" w14:textId="5D297C57" w:rsidR="00EF1144" w:rsidRDefault="00EF1144" w:rsidP="003D2FB7">
      <w:pPr>
        <w:pStyle w:val="FootnoteText"/>
        <w:jc w:val="both"/>
      </w:pPr>
      <w:r>
        <w:rPr>
          <w:rStyle w:val="FootnoteReference"/>
        </w:rPr>
        <w:footnoteRef/>
      </w:r>
      <w:r>
        <w:t xml:space="preserve"> N.C.G.S. </w:t>
      </w:r>
      <w:r>
        <w:rPr>
          <w:rFonts w:cstheme="minorHAnsi"/>
        </w:rPr>
        <w:t>§§</w:t>
      </w:r>
      <w:r>
        <w:t>116-239.9(c)(2)</w:t>
      </w:r>
    </w:p>
  </w:footnote>
  <w:footnote w:id="8">
    <w:p w14:paraId="319119FC" w14:textId="06956824" w:rsidR="00EF1144" w:rsidRDefault="00EF1144" w:rsidP="00C24880">
      <w:pPr>
        <w:pStyle w:val="FootnoteText"/>
        <w:jc w:val="both"/>
      </w:pPr>
      <w:r>
        <w:rPr>
          <w:rStyle w:val="FootnoteReference"/>
        </w:rPr>
        <w:footnoteRef/>
      </w:r>
      <w:r>
        <w:t xml:space="preserve"> However, laboratory schools may not enroll more than 20 percent of students not meeting the other eligibility criteria. N.C.G.S. </w:t>
      </w:r>
      <w:r>
        <w:rPr>
          <w:rFonts w:cstheme="minorHAnsi"/>
        </w:rPr>
        <w:t>§§</w:t>
      </w:r>
      <w:r>
        <w:t>116-239.</w:t>
      </w:r>
      <w:r w:rsidRPr="00EA3AE2">
        <w:t>9</w:t>
      </w:r>
      <w:r w:rsidRPr="000D7FA3">
        <w:t>(c)</w:t>
      </w:r>
      <w:r w:rsidRPr="00EA3AE2">
        <w:t>(2)</w:t>
      </w:r>
    </w:p>
  </w:footnote>
  <w:footnote w:id="9">
    <w:p w14:paraId="4AC8DF13" w14:textId="2AEB245D" w:rsidR="00EF1144" w:rsidRPr="003C37FB" w:rsidRDefault="00EF1144" w:rsidP="00C24880">
      <w:pPr>
        <w:pStyle w:val="FootnoteText"/>
      </w:pPr>
      <w:r>
        <w:rPr>
          <w:rStyle w:val="FootnoteReference"/>
        </w:rPr>
        <w:footnoteRef/>
      </w:r>
      <w:r>
        <w:t xml:space="preserve"> Bastian, K., Kim, J., &amp; Hassel, B. “Appendix A: Evaluation of the UNC System Laboratory Schools Initiative, November 2018 Report.” University of North Carolina System. (2018). Review and Evaluation of the Educational Effectiveness of the Laboratory Schools (Year 2). Retrieved from </w:t>
      </w:r>
      <w:hyperlink r:id="rId2" w:history="1">
        <w:r w:rsidRPr="00405E74">
          <w:rPr>
            <w:color w:val="0000FF"/>
            <w:u w:val="single"/>
          </w:rPr>
          <w:t>https://www.ncleg.gov/documentsites/committees/JLEOC/Reports%20Received/2018%20Reports%20Received/Laboratory%20Schools%20-%20Review%20&amp;%20Evaluation%20of%20Educational%20Effectiveness.pdf</w:t>
        </w:r>
      </w:hyperlink>
      <w:r>
        <w:t>.  The UNC System submitted an abbreviated report to the Joint Legislative Education Oversight Committee in November 2017.</w:t>
      </w:r>
    </w:p>
  </w:footnote>
  <w:footnote w:id="10">
    <w:p w14:paraId="3643AC50" w14:textId="31E813B6" w:rsidR="00EF1144" w:rsidRDefault="00EF1144" w:rsidP="00C24880">
      <w:pPr>
        <w:spacing w:after="0" w:line="240" w:lineRule="auto"/>
      </w:pPr>
      <w:r>
        <w:rPr>
          <w:rStyle w:val="FootnoteReference"/>
        </w:rPr>
        <w:footnoteRef/>
      </w:r>
      <w:r>
        <w:t xml:space="preserve"> </w:t>
      </w:r>
      <w:r w:rsidRPr="003A344F">
        <w:rPr>
          <w:rFonts w:cstheme="minorHAnsi"/>
          <w:iCs/>
          <w:sz w:val="20"/>
          <w:szCs w:val="20"/>
        </w:rPr>
        <w:t xml:space="preserve">Bastian, K., Kim, J. &amp; Brown, W. (2019). </w:t>
      </w:r>
      <w:r w:rsidRPr="003A344F">
        <w:rPr>
          <w:rFonts w:cstheme="minorHAnsi"/>
          <w:i/>
          <w:sz w:val="20"/>
          <w:szCs w:val="20"/>
        </w:rPr>
        <w:t xml:space="preserve">Evaluation of the UNC System Laboratory Schools Initiative, November 2019 Report. </w:t>
      </w:r>
      <w:r w:rsidRPr="003A344F">
        <w:rPr>
          <w:rFonts w:cstheme="minorHAnsi"/>
          <w:iCs/>
          <w:sz w:val="20"/>
          <w:szCs w:val="20"/>
        </w:rPr>
        <w:t xml:space="preserve">Chapel Hill, NC: University of North Carolina System. Retrieved from </w:t>
      </w:r>
      <w:hyperlink r:id="rId3" w:history="1">
        <w:r w:rsidRPr="003A344F">
          <w:rPr>
            <w:color w:val="0000FF"/>
            <w:sz w:val="20"/>
            <w:szCs w:val="20"/>
            <w:u w:val="single"/>
          </w:rPr>
          <w:t>https://www.ncleg.gov/documentsites/committees/JLEOC/Reports%20Received/2019%20Reports%20Received/UNC%20Laboratory%20Schools.pdf</w:t>
        </w:r>
      </w:hyperlink>
      <w:r w:rsidRPr="003A344F">
        <w:rPr>
          <w:sz w:val="20"/>
          <w:szCs w:val="20"/>
        </w:rPr>
        <w:t>.</w:t>
      </w:r>
    </w:p>
  </w:footnote>
  <w:footnote w:id="11">
    <w:p w14:paraId="71CDB47B" w14:textId="70FF819D" w:rsidR="00EF1144" w:rsidRPr="004A3BEE" w:rsidRDefault="00EF1144" w:rsidP="00C24880">
      <w:pPr>
        <w:pStyle w:val="FootnoteText"/>
        <w:rPr>
          <w:rFonts w:cstheme="minorHAnsi"/>
        </w:rPr>
      </w:pPr>
      <w:r w:rsidRPr="0065340E">
        <w:rPr>
          <w:rStyle w:val="FootnoteReference"/>
          <w:rFonts w:ascii="Times New Roman" w:hAnsi="Times New Roman" w:cs="Times New Roman"/>
        </w:rPr>
        <w:footnoteRef/>
      </w:r>
      <w:r w:rsidRPr="0065340E">
        <w:rPr>
          <w:rFonts w:ascii="Times New Roman" w:hAnsi="Times New Roman" w:cs="Times New Roman"/>
        </w:rPr>
        <w:t xml:space="preserve"> </w:t>
      </w:r>
      <w:r w:rsidRPr="004A3BEE">
        <w:rPr>
          <w:rFonts w:cstheme="minorHAnsi"/>
        </w:rPr>
        <w:t>N.C.G.S. §116-239.13 requires that the</w:t>
      </w:r>
      <w:r>
        <w:rPr>
          <w:rFonts w:cstheme="minorHAnsi"/>
        </w:rPr>
        <w:t xml:space="preserve"> UNC</w:t>
      </w:r>
      <w:r w:rsidRPr="004A3BEE">
        <w:rPr>
          <w:rFonts w:cstheme="minorHAnsi"/>
        </w:rPr>
        <w:t xml:space="preserve"> BOG Subcommittee on Laboratory Schools review and evaluate the educational effectiveness of the laboratory schools and report to the Joint Legislative Education Oversight Committee on these seven items by November 15 of each year.</w:t>
      </w:r>
    </w:p>
  </w:footnote>
  <w:footnote w:id="12">
    <w:p w14:paraId="0F1AAF2C" w14:textId="4AB6B98C" w:rsidR="00EF1144" w:rsidRDefault="00EF1144">
      <w:pPr>
        <w:pStyle w:val="FootnoteText"/>
      </w:pPr>
      <w:r>
        <w:rPr>
          <w:rStyle w:val="FootnoteReference"/>
        </w:rPr>
        <w:footnoteRef/>
      </w:r>
      <w:r>
        <w:t xml:space="preserve"> Niner University Elementary School opened as a K-2 school but plans to add a grade each year to become a K-5 school by the 2023-24 school year.  </w:t>
      </w:r>
    </w:p>
  </w:footnote>
  <w:footnote w:id="13">
    <w:p w14:paraId="6A3DA302" w14:textId="7863E86A" w:rsidR="00EF1144" w:rsidRDefault="00EF1144" w:rsidP="00C24880">
      <w:pPr>
        <w:pStyle w:val="FootnoteText"/>
        <w:jc w:val="both"/>
      </w:pPr>
      <w:r>
        <w:rPr>
          <w:rStyle w:val="FootnoteReference"/>
        </w:rPr>
        <w:footnoteRef/>
      </w:r>
      <w:r>
        <w:t xml:space="preserve"> N.C.G.S. </w:t>
      </w:r>
      <w:r w:rsidRPr="000916FD">
        <w:rPr>
          <w:rFonts w:cstheme="minorHAnsi"/>
        </w:rPr>
        <w:t>§§116-239.</w:t>
      </w:r>
      <w:r>
        <w:rPr>
          <w:rFonts w:cstheme="minorHAnsi"/>
        </w:rPr>
        <w:t>5 and 116-239.7</w:t>
      </w:r>
    </w:p>
  </w:footnote>
  <w:footnote w:id="14">
    <w:p w14:paraId="64659AE1" w14:textId="730825C4" w:rsidR="00EF1144" w:rsidRDefault="00EF1144" w:rsidP="00C24880">
      <w:pPr>
        <w:pStyle w:val="FootnoteText"/>
        <w:jc w:val="both"/>
      </w:pPr>
      <w:r>
        <w:rPr>
          <w:rStyle w:val="FootnoteReference"/>
        </w:rPr>
        <w:footnoteRef/>
      </w:r>
      <w:r>
        <w:t xml:space="preserve"> </w:t>
      </w:r>
      <w:r w:rsidRPr="000916FD">
        <w:rPr>
          <w:rFonts w:cstheme="minorHAnsi"/>
        </w:rPr>
        <w:t>N.C.G.S. §116-239.</w:t>
      </w:r>
      <w:r>
        <w:rPr>
          <w:rFonts w:cstheme="minorHAnsi"/>
        </w:rPr>
        <w:t>8</w:t>
      </w:r>
    </w:p>
  </w:footnote>
  <w:footnote w:id="15">
    <w:p w14:paraId="0C6A9B3E" w14:textId="06262655" w:rsidR="00EF1144" w:rsidRDefault="00EF1144" w:rsidP="00C24880">
      <w:pPr>
        <w:pStyle w:val="FootnoteText"/>
        <w:jc w:val="both"/>
      </w:pPr>
      <w:r>
        <w:rPr>
          <w:rStyle w:val="FootnoteReference"/>
        </w:rPr>
        <w:footnoteRef/>
      </w:r>
      <w:r>
        <w:t xml:space="preserve"> </w:t>
      </w:r>
      <w:r w:rsidRPr="000916FD">
        <w:rPr>
          <w:rFonts w:cstheme="minorHAnsi"/>
        </w:rPr>
        <w:t>N.C.G.S. §116-239.</w:t>
      </w:r>
      <w:r>
        <w:rPr>
          <w:rFonts w:cstheme="minorHAnsi"/>
        </w:rPr>
        <w:t xml:space="preserve">8(a) allows chancellors to designate governance duties to other university </w:t>
      </w:r>
      <w:proofErr w:type="gramStart"/>
      <w:r>
        <w:rPr>
          <w:rFonts w:cstheme="minorHAnsi"/>
        </w:rPr>
        <w:t>personnel</w:t>
      </w:r>
      <w:proofErr w:type="gramEnd"/>
      <w:r>
        <w:rPr>
          <w:rFonts w:cstheme="minorHAnsi"/>
        </w:rPr>
        <w:t xml:space="preserve"> as necessary.</w:t>
      </w:r>
    </w:p>
  </w:footnote>
  <w:footnote w:id="16">
    <w:p w14:paraId="64229FBC" w14:textId="47C713C2" w:rsidR="00EF1144" w:rsidRDefault="00EF1144">
      <w:pPr>
        <w:pStyle w:val="FootnoteText"/>
      </w:pPr>
      <w:r>
        <w:rPr>
          <w:rStyle w:val="FootnoteReference"/>
        </w:rPr>
        <w:footnoteRef/>
      </w:r>
      <w:r>
        <w:t xml:space="preserve"> This position is also responsible for oversight of educator preparation programs within the UNC System.</w:t>
      </w:r>
    </w:p>
  </w:footnote>
  <w:footnote w:id="17">
    <w:p w14:paraId="4B064DA2" w14:textId="3223C648" w:rsidR="00EF1144" w:rsidRDefault="00EF1144">
      <w:pPr>
        <w:pStyle w:val="FootnoteText"/>
      </w:pPr>
      <w:r>
        <w:rPr>
          <w:rStyle w:val="FootnoteReference"/>
        </w:rPr>
        <w:footnoteRef/>
      </w:r>
      <w:r>
        <w:t xml:space="preserve"> When NC public schools transitioned to remote instruction in March 2020 due to the </w:t>
      </w:r>
      <w:proofErr w:type="spellStart"/>
      <w:r>
        <w:t>Covid</w:t>
      </w:r>
      <w:proofErr w:type="spellEnd"/>
      <w:r>
        <w:t xml:space="preserve"> pandemic  the UNC System Office began conducting bi-weekly meetings with laboratory school and COE leaders to ensure consistent communication and sharing of information regarding legislative changes, updates from the Department of Public Instruction, and eligibility for CARES funding.</w:t>
      </w:r>
    </w:p>
  </w:footnote>
  <w:footnote w:id="18">
    <w:p w14:paraId="743D898D" w14:textId="51B8A5AA" w:rsidR="00EF1144" w:rsidRDefault="00EF1144" w:rsidP="00C24880">
      <w:pPr>
        <w:pStyle w:val="FootnoteText"/>
        <w:jc w:val="both"/>
      </w:pPr>
      <w:r>
        <w:rPr>
          <w:rStyle w:val="FootnoteReference"/>
        </w:rPr>
        <w:footnoteRef/>
      </w:r>
      <w:r>
        <w:t xml:space="preserve"> N.C.G.S. </w:t>
      </w:r>
      <w:r>
        <w:rPr>
          <w:rFonts w:cstheme="minorHAnsi"/>
        </w:rPr>
        <w:t>§§</w:t>
      </w:r>
      <w:r>
        <w:t xml:space="preserve">116-239.5(a) previously directed the UNC Board of Governors, upon the recommendation of the UNC System President, to designate at least nine constituent institutions to establish laboratory schools. Session Law 2020-56 (HB 1096) revised the statute which as rewritten provides: The Board of Governors, upon recommendation by the President, shall designate constituent institutions to submit proposals to establish at least nine laboratory schools in total to serve public school students…The Subcommittee may select a constituent institution to operate more than one laboratory school. </w:t>
      </w:r>
    </w:p>
  </w:footnote>
  <w:footnote w:id="19">
    <w:p w14:paraId="003ED229" w14:textId="783C54C0" w:rsidR="00EF1144" w:rsidRDefault="00EF1144">
      <w:pPr>
        <w:pStyle w:val="FootnoteText"/>
      </w:pPr>
      <w:r>
        <w:rPr>
          <w:rStyle w:val="FootnoteReference"/>
        </w:rPr>
        <w:footnoteRef/>
      </w:r>
      <w:r>
        <w:t xml:space="preserve"> </w:t>
      </w:r>
      <w:r w:rsidRPr="005E6CC6">
        <w:rPr>
          <w:i/>
          <w:iCs/>
        </w:rPr>
        <w:t>Id.</w:t>
      </w:r>
    </w:p>
  </w:footnote>
  <w:footnote w:id="20">
    <w:p w14:paraId="5183BBB4" w14:textId="7C5DAE73" w:rsidR="00EF1144" w:rsidRDefault="00EF1144" w:rsidP="00C24880">
      <w:pPr>
        <w:pStyle w:val="FootnoteText"/>
        <w:jc w:val="both"/>
      </w:pPr>
      <w:r>
        <w:rPr>
          <w:rStyle w:val="FootnoteReference"/>
        </w:rPr>
        <w:footnoteRef/>
      </w:r>
      <w:r>
        <w:t xml:space="preserve"> </w:t>
      </w:r>
      <w:r w:rsidRPr="00882736">
        <w:rPr>
          <w:i/>
          <w:iCs/>
        </w:rPr>
        <w:t>Id.</w:t>
      </w:r>
      <w:r>
        <w:t xml:space="preserve"> In addition N.C.G.S. </w:t>
      </w:r>
      <w:r>
        <w:rPr>
          <w:rFonts w:cstheme="minorHAnsi"/>
        </w:rPr>
        <w:t>§</w:t>
      </w:r>
      <w:r>
        <w:t xml:space="preserve">116-239.7 as rewritten provides: “The Board of </w:t>
      </w:r>
      <w:proofErr w:type="gramStart"/>
      <w:r>
        <w:t>Governors,…</w:t>
      </w:r>
      <w:proofErr w:type="gramEnd"/>
      <w:r>
        <w:t>shall designate constituent institutions to establish and operate a total of at least nine laboratory schools. The chancellor of each constituent institution shall adopt and submit to the [Board of Governors’ Subcommittee on Laboratory Schools] a proposal to operate one or more laboratory schools in one or more local school administrative units that meet the minimum threshold for the number of low-performing schools located in a unit under G.S. 116-239.6(4).</w:t>
      </w:r>
    </w:p>
  </w:footnote>
  <w:footnote w:id="21">
    <w:p w14:paraId="7FCDA2BA" w14:textId="35C0E94E" w:rsidR="00EF1144" w:rsidRDefault="00EF1144" w:rsidP="00C24880">
      <w:pPr>
        <w:pStyle w:val="FootnoteText"/>
        <w:jc w:val="both"/>
      </w:pPr>
      <w:r>
        <w:rPr>
          <w:rStyle w:val="FootnoteReference"/>
        </w:rPr>
        <w:footnoteRef/>
      </w:r>
      <w:r>
        <w:t xml:space="preserve"> Per Session Law 2020-56 (House Bill 1096), revisions to Section 11.6(d) of S.L. 2016-94, as amended by Section 4 of S.L. 2017-117 provide that “Notwithstanding G.S. 116-239.5, (</w:t>
      </w:r>
      <w:proofErr w:type="spellStart"/>
      <w:r>
        <w:t>i</w:t>
      </w:r>
      <w:proofErr w:type="spellEnd"/>
      <w:r>
        <w:t xml:space="preserve">) at least six laboratory schools shall be established pursuant to Article 29A of Chapter 116 of the General Statutes, as enacted by this section, and in operation by beginning of the 2020-2021 school year and (ii) at least an additional three laboratory schools shall be established pursuant to Article 29A of Chapter 116 of the General Statutes and in operation by the beginning of the 2022-2023 school year. </w:t>
      </w:r>
    </w:p>
  </w:footnote>
  <w:footnote w:id="22">
    <w:p w14:paraId="171E6A23" w14:textId="77777777" w:rsidR="00EF1144" w:rsidRDefault="00EF1144" w:rsidP="00C24880">
      <w:pPr>
        <w:pStyle w:val="FootnoteText"/>
        <w:jc w:val="both"/>
      </w:pPr>
      <w:r>
        <w:rPr>
          <w:rStyle w:val="FootnoteReference"/>
        </w:rPr>
        <w:footnoteRef/>
      </w:r>
      <w:r>
        <w:t xml:space="preserve"> </w:t>
      </w:r>
      <w:r w:rsidRPr="00882736">
        <w:rPr>
          <w:i/>
          <w:iCs/>
        </w:rPr>
        <w:t>Id.</w:t>
      </w:r>
    </w:p>
  </w:footnote>
  <w:footnote w:id="23">
    <w:p w14:paraId="3E5D0664" w14:textId="5EA2810C" w:rsidR="00EF1144" w:rsidRDefault="00EF1144" w:rsidP="00DE716A">
      <w:pPr>
        <w:pStyle w:val="FootnoteText"/>
        <w:jc w:val="both"/>
      </w:pPr>
      <w:r>
        <w:rPr>
          <w:rStyle w:val="FootnoteReference"/>
        </w:rPr>
        <w:footnoteRef/>
      </w:r>
      <w:r>
        <w:t xml:space="preserve"> See N.C.G.S. </w:t>
      </w:r>
      <w:r>
        <w:rPr>
          <w:rFonts w:cstheme="minorHAnsi"/>
        </w:rPr>
        <w:t xml:space="preserve">§116-239.9. </w:t>
      </w:r>
      <w:r>
        <w:t xml:space="preserve">Originally, the law limited enrollment to students who were both low-performing themselves and previously attended a low-performing school. The law was amended in </w:t>
      </w:r>
      <w:r w:rsidRPr="00583655">
        <w:t>2017 allowing</w:t>
      </w:r>
      <w:r>
        <w:t xml:space="preserve"> lab schools to enroll students meeting either </w:t>
      </w:r>
      <w:proofErr w:type="gramStart"/>
      <w:r>
        <w:t>criteria</w:t>
      </w:r>
      <w:proofErr w:type="gramEnd"/>
      <w:r>
        <w:t>. (ECU enrolled students meeting both criteria in its first two years of operation.) The law was amended in subsequent years to allow enrollment of siblings of laboratory school students and children of laboratory school employees.</w:t>
      </w:r>
    </w:p>
  </w:footnote>
  <w:footnote w:id="24">
    <w:p w14:paraId="31EDCB17" w14:textId="4EF8A38E" w:rsidR="00EF1144" w:rsidRDefault="00EF1144" w:rsidP="00DE716A">
      <w:pPr>
        <w:pStyle w:val="FootnoteText"/>
        <w:jc w:val="both"/>
      </w:pPr>
      <w:r>
        <w:rPr>
          <w:rStyle w:val="FootnoteReference"/>
        </w:rPr>
        <w:footnoteRef/>
      </w:r>
      <w:r>
        <w:t xml:space="preserve"> Session Law 2020-56 (House Bill 1096) added a new N.C.G.S. </w:t>
      </w:r>
      <w:r>
        <w:rPr>
          <w:rFonts w:cstheme="minorHAnsi"/>
        </w:rPr>
        <w:t>§</w:t>
      </w:r>
      <w:r>
        <w:t xml:space="preserve">116-239.9(c2) expanding student enrollment options for laboratory schools. </w:t>
      </w:r>
    </w:p>
  </w:footnote>
  <w:footnote w:id="25">
    <w:p w14:paraId="621F01F5" w14:textId="5285D915" w:rsidR="00EF1144" w:rsidRDefault="00EF1144" w:rsidP="00DE716A">
      <w:pPr>
        <w:pStyle w:val="FootnoteText"/>
        <w:jc w:val="both"/>
      </w:pPr>
      <w:r>
        <w:rPr>
          <w:rStyle w:val="FootnoteReference"/>
        </w:rPr>
        <w:footnoteRef/>
      </w:r>
      <w:r>
        <w:t xml:space="preserve"> N.C.G.S. </w:t>
      </w:r>
      <w:r>
        <w:rPr>
          <w:rFonts w:cstheme="minorHAnsi"/>
        </w:rPr>
        <w:t>§</w:t>
      </w:r>
      <w:r>
        <w:t>116-239.8(b)(4) as amended by Session Law 2020-56 (House Bill 1096).</w:t>
      </w:r>
    </w:p>
  </w:footnote>
  <w:footnote w:id="26">
    <w:p w14:paraId="59DDFC0F" w14:textId="372954C2" w:rsidR="00EF1144" w:rsidRDefault="00EF1144" w:rsidP="00DE716A">
      <w:pPr>
        <w:pStyle w:val="FootnoteText"/>
        <w:jc w:val="both"/>
      </w:pPr>
      <w:r>
        <w:rPr>
          <w:rStyle w:val="FootnoteReference"/>
        </w:rPr>
        <w:footnoteRef/>
      </w:r>
      <w:r>
        <w:t xml:space="preserve"> In 2020, laboratory schools also received federal emergency funds under the Coronavirus Aid, Relief, and Economic Security (CARES) Act which provided states funding and flexibilities to support K12 schools and local education agencies in responding to the Covid-19 pandemic.</w:t>
      </w:r>
    </w:p>
  </w:footnote>
  <w:footnote w:id="27">
    <w:p w14:paraId="7AA8DCA0" w14:textId="043C4094" w:rsidR="00EF1144" w:rsidRDefault="00EF1144">
      <w:pPr>
        <w:pStyle w:val="FootnoteText"/>
      </w:pPr>
      <w:r>
        <w:rPr>
          <w:rStyle w:val="FootnoteReference"/>
        </w:rPr>
        <w:footnoteRef/>
      </w:r>
      <w:r>
        <w:t xml:space="preserve"> As of this writing, UNCC anticipates that in person learning could resume in the second quarter, or sometime in November.</w:t>
      </w:r>
    </w:p>
  </w:footnote>
  <w:footnote w:id="28">
    <w:p w14:paraId="0621F24A" w14:textId="77777777" w:rsidR="00EF1144" w:rsidRDefault="00EF1144" w:rsidP="00AD0704">
      <w:pPr>
        <w:pStyle w:val="FootnoteText"/>
        <w:jc w:val="both"/>
      </w:pPr>
      <w:r>
        <w:rPr>
          <w:rStyle w:val="FootnoteReference"/>
        </w:rPr>
        <w:footnoteRef/>
      </w:r>
      <w:r>
        <w:t xml:space="preserve"> On June 11, the North Carolina State Board of Education released a comprehensive guidebook for safely reopening schools in fall 2020. (See NC State Board of Education. </w:t>
      </w:r>
      <w:r w:rsidRPr="00C774E9">
        <w:rPr>
          <w:rFonts w:cstheme="minorHAnsi"/>
          <w:i/>
          <w:iCs/>
          <w:color w:val="000000"/>
        </w:rPr>
        <w:t>Lighting Our Way Forward: NC’s Guidebook for Reopening Public Schools</w:t>
      </w:r>
      <w:r>
        <w:rPr>
          <w:rFonts w:cstheme="minorHAnsi"/>
          <w:i/>
          <w:iCs/>
          <w:color w:val="000000"/>
        </w:rPr>
        <w:t xml:space="preserve">. </w:t>
      </w:r>
      <w:r w:rsidRPr="00E63606">
        <w:rPr>
          <w:rFonts w:cstheme="minorHAnsi"/>
          <w:color w:val="000000"/>
        </w:rPr>
        <w:t xml:space="preserve">(June 2020). NC Department of Public Instruction. Retrieved from </w:t>
      </w:r>
      <w:hyperlink r:id="rId4" w:history="1">
        <w:r w:rsidRPr="00E63606">
          <w:rPr>
            <w:rStyle w:val="Hyperlink"/>
            <w:rFonts w:cstheme="minorHAnsi"/>
          </w:rPr>
          <w:t>https://docs.google.com/document/d/1z5Mp2XzOOPkBYN4YvROz4YOyNIF2UoWq9EZfrjvN4x8/preview?pru=AAABcsdvjwA*1iDZr-5T77y9JJ2lXMcxvg#</w:t>
        </w:r>
      </w:hyperlink>
      <w:r w:rsidRPr="00E63606">
        <w:rPr>
          <w:rFonts w:cstheme="minorHAnsi"/>
          <w:color w:val="000000"/>
        </w:rPr>
        <w:t>).</w:t>
      </w:r>
      <w:r>
        <w:rPr>
          <w:rFonts w:cstheme="minorHAnsi"/>
          <w:i/>
          <w:iCs/>
          <w:color w:val="000000"/>
        </w:rPr>
        <w:t xml:space="preserve"> </w:t>
      </w:r>
      <w:r>
        <w:t xml:space="preserve">The State Board directed NC school districts to develop by July 1 reopening plans under three scenarios: Plan A or </w:t>
      </w:r>
      <w:r w:rsidRPr="00F27A62">
        <w:t xml:space="preserve">in-person learning for all students; </w:t>
      </w:r>
      <w:r>
        <w:t xml:space="preserve">Plan B or a “hybrid” approach combining in-person and remote learning; or Plan C or </w:t>
      </w:r>
      <w:r w:rsidRPr="00F27A62">
        <w:t>remote instruction for all students</w:t>
      </w:r>
      <w:r>
        <w:t xml:space="preserve">. On July 14, Governor Roy Cooper directed all schools to reopen at reduced capacity under a Plan B hybrid learning scenario. Districts were also given the option to reopen with remote learning for all students. </w:t>
      </w:r>
    </w:p>
  </w:footnote>
  <w:footnote w:id="29">
    <w:p w14:paraId="445FEEDF" w14:textId="5BA2032A" w:rsidR="00EF1144" w:rsidRDefault="00EF1144" w:rsidP="00C24880">
      <w:pPr>
        <w:pStyle w:val="FootnoteText"/>
        <w:jc w:val="both"/>
      </w:pPr>
      <w:r>
        <w:rPr>
          <w:rStyle w:val="FootnoteReference"/>
        </w:rPr>
        <w:footnoteRef/>
      </w:r>
      <w:r>
        <w:t xml:space="preserve"> </w:t>
      </w:r>
      <w:r w:rsidRPr="00257EF8">
        <w:rPr>
          <w:rFonts w:cstheme="minorHAnsi"/>
        </w:rPr>
        <w:t>N.C.G.S. §116-239.5(c)</w:t>
      </w:r>
    </w:p>
  </w:footnote>
  <w:footnote w:id="30">
    <w:p w14:paraId="699E5841" w14:textId="1E78D22E" w:rsidR="00EF1144" w:rsidRDefault="00EF1144" w:rsidP="00C24880">
      <w:pPr>
        <w:pStyle w:val="FootnoteText"/>
        <w:jc w:val="both"/>
      </w:pPr>
      <w:r>
        <w:rPr>
          <w:rStyle w:val="FootnoteReference"/>
        </w:rPr>
        <w:footnoteRef/>
      </w:r>
      <w:r>
        <w:t xml:space="preserve"> </w:t>
      </w:r>
      <w:r w:rsidRPr="00257EF8">
        <w:rPr>
          <w:rFonts w:cstheme="minorHAnsi"/>
        </w:rPr>
        <w:t>N.C.G.S. §116-239.</w:t>
      </w:r>
      <w:r>
        <w:rPr>
          <w:rFonts w:cstheme="minorHAnsi"/>
        </w:rPr>
        <w:t>8(b)(4)(a) as amended by Session Law 2020-56 (House Bill 1096)</w:t>
      </w:r>
    </w:p>
  </w:footnote>
  <w:footnote w:id="31">
    <w:p w14:paraId="0E15A8AA" w14:textId="62AEEBD3" w:rsidR="00EF1144" w:rsidRDefault="00EF1144" w:rsidP="00C24880">
      <w:pPr>
        <w:pStyle w:val="FootnoteText"/>
        <w:jc w:val="both"/>
      </w:pPr>
      <w:r>
        <w:rPr>
          <w:rStyle w:val="FootnoteReference"/>
        </w:rPr>
        <w:footnoteRef/>
      </w:r>
      <w:r>
        <w:t xml:space="preserve"> </w:t>
      </w:r>
      <w:r w:rsidRPr="00257EF8">
        <w:rPr>
          <w:rFonts w:cstheme="minorHAnsi"/>
        </w:rPr>
        <w:t>N.C.G.S. §116-239.</w:t>
      </w:r>
      <w:r>
        <w:rPr>
          <w:rFonts w:cstheme="minorHAnsi"/>
        </w:rPr>
        <w:t>8(b)(4)(b) as amended by Session Law 2020-56 (House Bill 1096)</w:t>
      </w:r>
    </w:p>
  </w:footnote>
  <w:footnote w:id="32">
    <w:p w14:paraId="4296819B" w14:textId="0D56501D" w:rsidR="00EF1144" w:rsidRDefault="00EF1144" w:rsidP="00C24880">
      <w:pPr>
        <w:pStyle w:val="FootnoteText"/>
        <w:jc w:val="both"/>
      </w:pPr>
      <w:r>
        <w:rPr>
          <w:rStyle w:val="FootnoteReference"/>
        </w:rPr>
        <w:footnoteRef/>
      </w:r>
      <w:r>
        <w:t xml:space="preserve"> </w:t>
      </w:r>
      <w:r w:rsidRPr="00257EF8">
        <w:rPr>
          <w:rFonts w:cstheme="minorHAnsi"/>
        </w:rPr>
        <w:t>N.C.G.S. §116-239.</w:t>
      </w:r>
      <w:r>
        <w:rPr>
          <w:rFonts w:cstheme="minorHAnsi"/>
        </w:rPr>
        <w:t>8(b)(4)(d) as amended by Session Law 2020-56 (House Bill 1096)</w:t>
      </w:r>
    </w:p>
  </w:footnote>
  <w:footnote w:id="33">
    <w:p w14:paraId="15720F9C" w14:textId="4942F328" w:rsidR="00EF1144" w:rsidRDefault="00EF1144" w:rsidP="00C24880">
      <w:pPr>
        <w:pStyle w:val="FootnoteText"/>
        <w:jc w:val="both"/>
      </w:pPr>
      <w:r>
        <w:rPr>
          <w:rStyle w:val="FootnoteReference"/>
        </w:rPr>
        <w:footnoteRef/>
      </w:r>
      <w:r>
        <w:t xml:space="preserve"> </w:t>
      </w:r>
      <w:r w:rsidRPr="000916FD">
        <w:rPr>
          <w:rFonts w:cstheme="minorHAnsi"/>
        </w:rPr>
        <w:t>N.C.G.S. §116-239.</w:t>
      </w:r>
      <w:r>
        <w:rPr>
          <w:rFonts w:cstheme="minorHAnsi"/>
        </w:rPr>
        <w:t>9(a)</w:t>
      </w:r>
    </w:p>
  </w:footnote>
  <w:footnote w:id="34">
    <w:p w14:paraId="6F0D4181" w14:textId="5FB0CA01" w:rsidR="00EF1144" w:rsidRDefault="00EF1144" w:rsidP="00C24880">
      <w:pPr>
        <w:pStyle w:val="FootnoteText"/>
        <w:jc w:val="both"/>
      </w:pPr>
      <w:r>
        <w:rPr>
          <w:rStyle w:val="FootnoteReference"/>
        </w:rPr>
        <w:footnoteRef/>
      </w:r>
      <w:r>
        <w:t xml:space="preserve"> Session law 2020-56 (House Bill 1096) amended N.C.G.S. </w:t>
      </w:r>
      <w:r>
        <w:rPr>
          <w:rFonts w:cstheme="minorHAnsi"/>
        </w:rPr>
        <w:t>§116-239.9 by adding a fourth criteria for laboratory school admission. N.C.G.S. §116-239.9(a)(4) provides that a child of a laboratory school employee is eligible to attend a laboratory school. House Bill 1096 also amended N.C.G.S. §116-239.9 adding a new §116-239.9(c2) which provides that “Notwithstanding the requirements of subsection (a) of this section [setting forth admission eligibility criteria], if a laboratory school has not reached enrollment capacity in a program, class, grade level, or building by March 1, prior to the start of the next school year, the laboratory school may enroll children who reside in the local school administrative unit in which the laboratory school is located but do not meet one of the eligibility criteria…for up to twenty percent (20%) of the total capacity of the program, class, grade level, or building.”</w:t>
      </w:r>
    </w:p>
  </w:footnote>
  <w:footnote w:id="35">
    <w:p w14:paraId="0AA79EE0" w14:textId="3B1A163E" w:rsidR="00EF1144" w:rsidRDefault="00EF1144" w:rsidP="00A3605A">
      <w:pPr>
        <w:pStyle w:val="FootnoteText"/>
        <w:jc w:val="both"/>
      </w:pPr>
      <w:r>
        <w:rPr>
          <w:rStyle w:val="FootnoteReference"/>
        </w:rPr>
        <w:footnoteRef/>
      </w:r>
      <w:r>
        <w:t xml:space="preserve"> In 2020-21, the Academy at Middle Fork (Appalachian State) enrolled 99 percent of its 2019-20 enrollment; ECU Community School enrolled 93 percent; Moss Street Partnership School (UNCG) enrolled 85 percent; D.C. Virgo Preparatory Academy (UNCW) enrolled 94 percent; and The Catamount School (WCU) enrolled 72 percent. In comparison, in 2019-20, enrollment at ECU Community School, Moss Street Partnership School, and The Catamount School (WCU) grew over 2018-19 enrollment, by 38 percent, 0.25 percent, and 7 percent, respectively; but declined at the Academy at Middle Fork (Appalachian State) and D.C. Virgo Preparatory Academy (UNCW) by 0.7 percent and 7 percent, respectively.</w:t>
      </w:r>
      <w:r w:rsidR="00A3605A">
        <w:t xml:space="preserve"> All the data for these comparisons come from the 20</w:t>
      </w:r>
      <w:r w:rsidR="00A3605A" w:rsidRPr="00A3605A">
        <w:rPr>
          <w:vertAlign w:val="superscript"/>
        </w:rPr>
        <w:t>th</w:t>
      </w:r>
      <w:r w:rsidR="00A3605A">
        <w:t xml:space="preserve"> day of each school year.</w:t>
      </w:r>
    </w:p>
  </w:footnote>
  <w:footnote w:id="36">
    <w:p w14:paraId="4A5CBE82" w14:textId="224C8B40" w:rsidR="00EF1144" w:rsidRPr="00471258" w:rsidRDefault="00EF1144" w:rsidP="00B10D4C">
      <w:pPr>
        <w:pStyle w:val="FootnoteText"/>
        <w:jc w:val="both"/>
        <w:rPr>
          <w:strike/>
        </w:rPr>
      </w:pPr>
      <w:r>
        <w:rPr>
          <w:rStyle w:val="FootnoteReference"/>
        </w:rPr>
        <w:footnoteRef/>
      </w:r>
      <w:r>
        <w:t xml:space="preserve"> In a report submitted to the Evaluation Team in March 2020</w:t>
      </w:r>
      <w:r w:rsidR="00A4563A">
        <w:t xml:space="preserve">, </w:t>
      </w:r>
      <w:r>
        <w:t xml:space="preserve">UNCC’s laboratory school planning team projected enrollment of 150 students for the 2020-21 school year. </w:t>
      </w:r>
    </w:p>
  </w:footnote>
  <w:footnote w:id="37">
    <w:p w14:paraId="617155C5" w14:textId="40B0D807" w:rsidR="00EF1144" w:rsidRDefault="00EF1144" w:rsidP="00C24880">
      <w:pPr>
        <w:pStyle w:val="FootnoteText"/>
        <w:jc w:val="both"/>
      </w:pPr>
      <w:r>
        <w:rPr>
          <w:rStyle w:val="FootnoteReference"/>
        </w:rPr>
        <w:footnoteRef/>
      </w:r>
      <w:r>
        <w:t xml:space="preserve"> N.C.G.S. </w:t>
      </w:r>
      <w:r>
        <w:rPr>
          <w:rFonts w:cstheme="minorHAnsi"/>
        </w:rPr>
        <w:t>§</w:t>
      </w:r>
      <w:r>
        <w:t>116-239.9(a)(1) and (2).</w:t>
      </w:r>
    </w:p>
  </w:footnote>
  <w:footnote w:id="38">
    <w:p w14:paraId="2AEFAAE8" w14:textId="4649AAE1" w:rsidR="00EF1144" w:rsidRDefault="00EF1144" w:rsidP="00C24880">
      <w:pPr>
        <w:pStyle w:val="FootnoteText"/>
        <w:jc w:val="both"/>
      </w:pPr>
      <w:r>
        <w:rPr>
          <w:rStyle w:val="FootnoteReference"/>
        </w:rPr>
        <w:footnoteRef/>
      </w:r>
      <w:r>
        <w:t xml:space="preserve"> Senate Bill 99 (Session Law 2018-5) amended N.C.G.S. </w:t>
      </w:r>
      <w:r>
        <w:rPr>
          <w:rFonts w:cstheme="minorHAnsi"/>
        </w:rPr>
        <w:t>§</w:t>
      </w:r>
      <w:r>
        <w:t xml:space="preserve">116-239.9 by adding a third criteria for laboratory school admission. N.C.G.S. </w:t>
      </w:r>
      <w:r>
        <w:rPr>
          <w:rFonts w:cstheme="minorHAnsi"/>
        </w:rPr>
        <w:t>§</w:t>
      </w:r>
      <w:r>
        <w:t xml:space="preserve">116-239.9(a)(3) provides that a sibling of a child who is eligible under the original criteria set forth in </w:t>
      </w:r>
      <w:r>
        <w:rPr>
          <w:rFonts w:cstheme="minorHAnsi"/>
        </w:rPr>
        <w:t>§</w:t>
      </w:r>
      <w:r>
        <w:t>116-239.9(a)(1) and (2) shall be eligible to attend a laboratory school.</w:t>
      </w:r>
    </w:p>
  </w:footnote>
  <w:footnote w:id="39">
    <w:p w14:paraId="4B0ECB56" w14:textId="4F62FC7B" w:rsidR="00EF1144" w:rsidRDefault="00EF1144" w:rsidP="00C24880">
      <w:pPr>
        <w:pStyle w:val="FootnoteText"/>
        <w:jc w:val="both"/>
      </w:pPr>
      <w:r>
        <w:rPr>
          <w:rStyle w:val="FootnoteReference"/>
        </w:rPr>
        <w:footnoteRef/>
      </w:r>
      <w:r>
        <w:t xml:space="preserve"> Session Law 2020-56 (HB 1096) (2020) amended N.C.G.S. </w:t>
      </w:r>
      <w:r>
        <w:rPr>
          <w:rFonts w:cstheme="minorHAnsi"/>
        </w:rPr>
        <w:t>§116-239.9 by adding a fourth criteria for laboratory school admission. N.C.G.S. §116-239.9(a)(4) provides that a child of a laboratory school employee is eligible to attend a laboratory school. House Bill 1096 also amended N.C.G.S. §116-239.9 adding a new §116-239.9(c2) which provides that “Notwithstanding the requirements of subsection (a) of this section [setting forth admission eligibility criteria], if a laboratory school has not reached enrollment capacity in a program, class, grade level, or building by March 1, prior to the start of the next school year, the laboratory school may enroll children who reside in the local school administrative unit in which the laboratory school is located but do not meet one of the eligibility criteria…for up to twenty percent (20%) of the total capacity of the program, class, grade level, or building.”</w:t>
      </w:r>
    </w:p>
  </w:footnote>
  <w:footnote w:id="40">
    <w:p w14:paraId="0F59C71C" w14:textId="45397556" w:rsidR="00EF1144" w:rsidRDefault="00EF1144" w:rsidP="00C24880">
      <w:pPr>
        <w:pStyle w:val="FootnoteText"/>
        <w:jc w:val="both"/>
      </w:pPr>
      <w:r>
        <w:rPr>
          <w:rStyle w:val="FootnoteReference"/>
        </w:rPr>
        <w:footnoteRef/>
      </w:r>
      <w:r>
        <w:t xml:space="preserve"> </w:t>
      </w:r>
      <w:bookmarkStart w:id="14" w:name="_Hlk48755290"/>
      <w:r>
        <w:t>Session Law 2020-56 (</w:t>
      </w:r>
      <w:r>
        <w:rPr>
          <w:bCs/>
        </w:rPr>
        <w:t xml:space="preserve">HB 1096) created a new N.C.G.S. </w:t>
      </w:r>
      <w:r>
        <w:rPr>
          <w:rFonts w:cstheme="minorHAnsi"/>
          <w:bCs/>
        </w:rPr>
        <w:t>§</w:t>
      </w:r>
      <w:r>
        <w:rPr>
          <w:bCs/>
        </w:rPr>
        <w:t>116-239.9(e) which provides that within a year of operation, a laboratory school shall make reasonable efforts in the recruitment process for the population of the school to reasonably reflect the racial, ethnic, and socioeconomic composition of the general population of the students residing within the local school administrative unit in which the school is located. A laboratory school shall not unlawfully discriminate when making admissions determinations.</w:t>
      </w:r>
      <w:bookmarkEnd w:id="14"/>
    </w:p>
  </w:footnote>
  <w:footnote w:id="41">
    <w:p w14:paraId="48D6DCF5" w14:textId="77777777" w:rsidR="00EF1144" w:rsidRDefault="00EF1144" w:rsidP="004D77A0">
      <w:pPr>
        <w:pStyle w:val="FootnoteText"/>
      </w:pPr>
      <w:r>
        <w:rPr>
          <w:rStyle w:val="FootnoteReference"/>
        </w:rPr>
        <w:footnoteRef/>
      </w:r>
      <w:r>
        <w:t xml:space="preserve"> When calculating the percentage of low-income students at Appalachian Academy, North Carolina does not use a 1.6 multiplier (as it does for other schools in Winston-Salem Forsyth Schools). If the 1.6 multiplier </w:t>
      </w:r>
      <w:proofErr w:type="gramStart"/>
      <w:r>
        <w:t>was</w:t>
      </w:r>
      <w:proofErr w:type="gramEnd"/>
      <w:r>
        <w:t xml:space="preserve"> applied to the Appalachian Academy, 99 percent of the students would be designated as low-income.</w:t>
      </w:r>
    </w:p>
  </w:footnote>
  <w:footnote w:id="42">
    <w:p w14:paraId="75E78395" w14:textId="77777777" w:rsidR="00EF1144" w:rsidRDefault="00EF1144" w:rsidP="004D77A0">
      <w:pPr>
        <w:pStyle w:val="FootnoteText"/>
      </w:pPr>
      <w:r>
        <w:rPr>
          <w:rStyle w:val="FootnoteReference"/>
        </w:rPr>
        <w:footnoteRef/>
      </w:r>
      <w:r>
        <w:t xml:space="preserve"> In the paragraphs below, data on race/ethnicity for other students in the same school district come from the 2018-19 academic year. Data on economic-disadvantage come from Title I </w:t>
      </w:r>
      <w:proofErr w:type="gramStart"/>
      <w:r>
        <w:t>reporting</w:t>
      </w:r>
      <w:proofErr w:type="gramEnd"/>
      <w:r>
        <w:t xml:space="preserve"> for the 2019-20 academic year. These Title I data are at the school rather than the student level.</w:t>
      </w:r>
    </w:p>
  </w:footnote>
  <w:footnote w:id="43">
    <w:p w14:paraId="4DAEAD80" w14:textId="2F4D9311" w:rsidR="00EF1144" w:rsidRDefault="00EF1144" w:rsidP="00E92271">
      <w:pPr>
        <w:pStyle w:val="FootnoteText"/>
        <w:jc w:val="both"/>
      </w:pPr>
      <w:r>
        <w:rPr>
          <w:rStyle w:val="FootnoteReference"/>
        </w:rPr>
        <w:footnoteRef/>
      </w:r>
      <w:r>
        <w:t xml:space="preserve"> Pursuant to Session Law 2020-56, the UNC Board of Governors was authorized to transfer $200,000 in non-recurring funds from funds provided for the Future Teachers of North Carolina program for the 2020-21 fiscal year with the proviso that those funds not be used to create new positions or to hire additional consultants for the UNC System Office. </w:t>
      </w:r>
    </w:p>
  </w:footnote>
  <w:footnote w:id="44">
    <w:p w14:paraId="45382ACE" w14:textId="170F3C18" w:rsidR="00EF1144" w:rsidRDefault="00EF1144" w:rsidP="0069132D">
      <w:pPr>
        <w:pStyle w:val="FootnoteText"/>
        <w:jc w:val="both"/>
      </w:pPr>
      <w:r>
        <w:rPr>
          <w:rStyle w:val="FootnoteReference"/>
        </w:rPr>
        <w:footnoteRef/>
      </w:r>
      <w:r>
        <w:t xml:space="preserve"> In addition, Session Law 2020-97 provides that for the 2020-21 fiscal year, North Carolina districts will be held harmless for declines in enrollment such that the State Board of Education will not reduce allocations to school districts due to discrepancies between their actual and anticipated average daily membership.</w:t>
      </w:r>
    </w:p>
  </w:footnote>
  <w:footnote w:id="45">
    <w:p w14:paraId="5A3E6D49" w14:textId="77777777" w:rsidR="00EF1144" w:rsidRDefault="00EF1144" w:rsidP="003777E9">
      <w:pPr>
        <w:pStyle w:val="FootnoteText"/>
        <w:jc w:val="both"/>
      </w:pPr>
      <w:r>
        <w:rPr>
          <w:rStyle w:val="FootnoteReference"/>
        </w:rPr>
        <w:footnoteRef/>
      </w:r>
      <w:r>
        <w:t xml:space="preserve"> </w:t>
      </w:r>
      <w:r w:rsidRPr="00257EF8">
        <w:rPr>
          <w:rFonts w:cstheme="minorHAnsi"/>
        </w:rPr>
        <w:t>N.C.G.S. §116-239.</w:t>
      </w:r>
      <w:r>
        <w:rPr>
          <w:rFonts w:cstheme="minorHAnsi"/>
        </w:rPr>
        <w:t>8(b)(4)(a) as amended by Session Law 2020-56 (House Bill 1096)</w:t>
      </w:r>
    </w:p>
  </w:footnote>
  <w:footnote w:id="46">
    <w:p w14:paraId="6D1AC7CF" w14:textId="12ECA716" w:rsidR="00EF1144" w:rsidRDefault="00EF1144" w:rsidP="00C24880">
      <w:pPr>
        <w:pStyle w:val="FootnoteText"/>
        <w:jc w:val="both"/>
      </w:pPr>
      <w:r>
        <w:rPr>
          <w:rStyle w:val="FootnoteReference"/>
        </w:rPr>
        <w:footnoteRef/>
      </w:r>
      <w:r>
        <w:t xml:space="preserve"> The prior score for 3</w:t>
      </w:r>
      <w:r w:rsidRPr="00D856F3">
        <w:rPr>
          <w:vertAlign w:val="superscript"/>
        </w:rPr>
        <w:t>rd</w:t>
      </w:r>
      <w:r>
        <w:t xml:space="preserve"> grade reading is the composite </w:t>
      </w:r>
      <w:proofErr w:type="spellStart"/>
      <w:r>
        <w:t>Dibels</w:t>
      </w:r>
      <w:proofErr w:type="spellEnd"/>
      <w:r>
        <w:t xml:space="preserve"> score (part of </w:t>
      </w:r>
      <w:proofErr w:type="spellStart"/>
      <w:r>
        <w:t>mCLASS</w:t>
      </w:r>
      <w:proofErr w:type="spellEnd"/>
      <w:r>
        <w:t>) from the end of second grade. There is no prior score for 3</w:t>
      </w:r>
      <w:r w:rsidRPr="003F22D3">
        <w:rPr>
          <w:vertAlign w:val="superscript"/>
        </w:rPr>
        <w:t>rd</w:t>
      </w:r>
      <w:r>
        <w:t xml:space="preserve"> grade math. </w:t>
      </w:r>
    </w:p>
  </w:footnote>
  <w:footnote w:id="47">
    <w:p w14:paraId="0B1327BA" w14:textId="49834645" w:rsidR="00EF1144" w:rsidRDefault="00EF1144" w:rsidP="00C24880">
      <w:pPr>
        <w:pStyle w:val="FootnoteText"/>
        <w:jc w:val="both"/>
      </w:pPr>
      <w:r>
        <w:rPr>
          <w:rStyle w:val="FootnoteReference"/>
        </w:rPr>
        <w:footnoteRef/>
      </w:r>
      <w:r>
        <w:t xml:space="preserve"> Third grade students at the ECU Community School do not have a prior reading score because as 2</w:t>
      </w:r>
      <w:r w:rsidRPr="00786598">
        <w:rPr>
          <w:vertAlign w:val="superscript"/>
        </w:rPr>
        <w:t>nd</w:t>
      </w:r>
      <w:r>
        <w:t xml:space="preserve"> graders at the ECU Community School they did not take the </w:t>
      </w:r>
      <w:proofErr w:type="spellStart"/>
      <w:r>
        <w:t>mCLASS</w:t>
      </w:r>
      <w:proofErr w:type="spellEnd"/>
      <w:r>
        <w:t xml:space="preserve"> Reading 3D exam.</w:t>
      </w:r>
    </w:p>
  </w:footnote>
  <w:footnote w:id="48">
    <w:p w14:paraId="591BECD6" w14:textId="5C135A88" w:rsidR="00EF1144" w:rsidRDefault="00EF1144" w:rsidP="00C24880">
      <w:pPr>
        <w:pStyle w:val="FootnoteText"/>
        <w:jc w:val="both"/>
      </w:pPr>
      <w:r>
        <w:rPr>
          <w:rStyle w:val="FootnoteReference"/>
        </w:rPr>
        <w:footnoteRef/>
      </w:r>
      <w:r>
        <w:t xml:space="preserve"> The number of students with current and prior year scores differs between reading and math at The Catamount School because eight 8</w:t>
      </w:r>
      <w:r w:rsidRPr="009029CA">
        <w:rPr>
          <w:vertAlign w:val="superscript"/>
        </w:rPr>
        <w:t>th</w:t>
      </w:r>
      <w:r>
        <w:t xml:space="preserve"> grade students at The Catamount School took Math I rather than the 8</w:t>
      </w:r>
      <w:r w:rsidRPr="009029CA">
        <w:rPr>
          <w:vertAlign w:val="superscript"/>
        </w:rPr>
        <w:t>th</w:t>
      </w:r>
      <w:r>
        <w:t xml:space="preserve"> grade math EOG.</w:t>
      </w:r>
    </w:p>
  </w:footnote>
  <w:footnote w:id="49">
    <w:p w14:paraId="0228B67C" w14:textId="2E75B9A6" w:rsidR="00EF1144" w:rsidRDefault="00EF1144" w:rsidP="005E2A60">
      <w:pPr>
        <w:pStyle w:val="FootnoteText"/>
        <w:jc w:val="both"/>
      </w:pPr>
      <w:r>
        <w:rPr>
          <w:rStyle w:val="FootnoteReference"/>
        </w:rPr>
        <w:footnoteRef/>
      </w:r>
      <w:r>
        <w:t xml:space="preserve">  See Appendix Table A5.8 for characteristics of the laboratory school sample and the matched comparison sample. The Evaluation Team used propensity score analyses to match laboratory school students to comparison sample students within the same grade. Variables in the propensity score model included student demographics (racial/ethnic minority, economically-disadvantaged, gender, exceptional children status, limited English proficient), measures of prior year student engagement and achievement (number of days absent, whether the student was suspended in the prior year, and prior-year test scores on DIBELS, TRC, and EOG exams in math and reading, as available), and characteristics of the prior-year school (percent racial/ethnic minority, percent economically-disadvantaged, performance composite, EVAAS growth score, and the short-term suspension rate). The Evaluation Team performed this propensity score matching for all students who were new to a laboratory school in 2018-19. For students in their second year at a laboratory school, the Evaluation Team retained the matches from the November 2019 evaluation report.</w:t>
      </w:r>
    </w:p>
  </w:footnote>
  <w:footnote w:id="50">
    <w:p w14:paraId="6AD7871B" w14:textId="112247DD" w:rsidR="00EF1144" w:rsidRDefault="00EF1144" w:rsidP="00B376E8">
      <w:pPr>
        <w:pStyle w:val="FootnoteText"/>
        <w:jc w:val="both"/>
      </w:pPr>
      <w:r>
        <w:rPr>
          <w:rStyle w:val="FootnoteReference"/>
        </w:rPr>
        <w:footnoteRef/>
      </w:r>
      <w:r>
        <w:t xml:space="preserve"> In these analyses standardized test scores from 2018-19 are the outcome, the focal measure is either a 1/0 variable for laboratory school students or a set of 1/0 indicators for students at each laboratory school (with matched students as the reference group), and additional control variables including student demographics and prior year absences, suspensions, and test scores. These models also control for the propensity score and weight observations more heavily as they more closely resemble the laboratory school sample.</w:t>
      </w:r>
    </w:p>
  </w:footnote>
  <w:footnote w:id="51">
    <w:p w14:paraId="737D5EAF" w14:textId="1D8A8AE4" w:rsidR="00EF1144" w:rsidRDefault="00EF1144" w:rsidP="00C24880">
      <w:pPr>
        <w:pStyle w:val="FootnoteText"/>
        <w:jc w:val="both"/>
      </w:pPr>
      <w:r>
        <w:rPr>
          <w:rStyle w:val="FootnoteReference"/>
        </w:rPr>
        <w:footnoteRef/>
      </w:r>
      <w:r>
        <w:t xml:space="preserve"> This is the same matched comparison sample that was part of the student achievement analyses.</w:t>
      </w:r>
    </w:p>
  </w:footnote>
  <w:footnote w:id="52">
    <w:p w14:paraId="4C553B27" w14:textId="77777777" w:rsidR="00EF1144" w:rsidRDefault="00EF1144" w:rsidP="00C24880">
      <w:pPr>
        <w:pStyle w:val="FootnoteText"/>
        <w:jc w:val="both"/>
      </w:pPr>
      <w:r>
        <w:rPr>
          <w:rStyle w:val="FootnoteReference"/>
        </w:rPr>
        <w:footnoteRef/>
      </w:r>
      <w:r>
        <w:t xml:space="preserve"> The reported attendance rates for students who exit laboratory schools only consider their attendance at a laboratory school and not any other school in which they subsequently enrolled.</w:t>
      </w:r>
    </w:p>
  </w:footnote>
  <w:footnote w:id="53">
    <w:p w14:paraId="3C6518E2" w14:textId="5D956B35" w:rsidR="00EF1144" w:rsidRDefault="00EF1144" w:rsidP="00714402">
      <w:pPr>
        <w:pStyle w:val="FootnoteText"/>
        <w:jc w:val="both"/>
      </w:pPr>
      <w:r>
        <w:rPr>
          <w:rStyle w:val="FootnoteReference"/>
        </w:rPr>
        <w:footnoteRef/>
      </w:r>
      <w:r>
        <w:t xml:space="preserve"> In these analyses students’ attendance rates from 2018-19 are the outcome, the focal measure is either a 1/0 variable for laboratory school students or a set of 1/0 indicators for students at each laboratory school (with matched students as the reference group), and additional control variables including student demographics and prior year absences, suspensions, and test scores. These models also control for the propensity score and weight observations more heavily as they more closely resemble the laboratory school sample.</w:t>
      </w:r>
    </w:p>
  </w:footnote>
  <w:footnote w:id="54">
    <w:p w14:paraId="0B511944" w14:textId="7F27067E" w:rsidR="00EF1144" w:rsidRDefault="00EF1144" w:rsidP="00782C2C">
      <w:pPr>
        <w:pStyle w:val="FootnoteText"/>
        <w:jc w:val="both"/>
      </w:pPr>
      <w:r>
        <w:rPr>
          <w:rStyle w:val="FootnoteReference"/>
        </w:rPr>
        <w:footnoteRef/>
      </w:r>
      <w:r>
        <w:t xml:space="preserve"> Many of the UNC System institutions operating laboratory schools also placed other pre-service interns into laboratory schools in 2019-20. ECU placed one marriage and family therapy intern, one school psychology intern, and seven speech-language pathology interns at the ECU Community School. UNCG placed one school counseling intern, two school social work interns, four speech-language/audiology interns, and 12 school nursing interns at the Moss Street Partnership School. UNCW placed 12 school social work interns and six instructional technology interns at D.C. Virgo Preparatory Academy. WCU placed two school counselling interns, one school psychology intern, and 21 school nursing interns at The Catamount School. </w:t>
      </w:r>
    </w:p>
  </w:footnote>
  <w:footnote w:id="55">
    <w:p w14:paraId="041F72A1" w14:textId="094BDF96" w:rsidR="00EF1144" w:rsidRDefault="00EF1144" w:rsidP="00C24880">
      <w:pPr>
        <w:pStyle w:val="FootnoteText"/>
        <w:jc w:val="both"/>
      </w:pPr>
      <w:r>
        <w:rPr>
          <w:rStyle w:val="FootnoteReference"/>
        </w:rPr>
        <w:footnoteRef/>
      </w:r>
      <w:r>
        <w:t xml:space="preserve"> </w:t>
      </w:r>
      <w:r>
        <w:rPr>
          <w:rFonts w:cstheme="minorHAnsi"/>
        </w:rPr>
        <w:t>An NC Principal Fellow placed at the Moss Street Partnership School for the 2019-20 school year had to withdraw from the placement in August 2019.</w:t>
      </w:r>
    </w:p>
  </w:footnote>
  <w:footnote w:id="56">
    <w:p w14:paraId="70668BED" w14:textId="22D63F27" w:rsidR="00EF1144" w:rsidRDefault="00EF1144" w:rsidP="00C24880">
      <w:pPr>
        <w:pStyle w:val="FootnoteText"/>
        <w:jc w:val="both"/>
      </w:pPr>
      <w:r>
        <w:rPr>
          <w:rStyle w:val="FootnoteReference"/>
        </w:rPr>
        <w:footnoteRef/>
      </w:r>
      <w:r>
        <w:t xml:space="preserve"> T</w:t>
      </w:r>
      <w:r>
        <w:rPr>
          <w:rFonts w:cstheme="minorHAnsi"/>
          <w:iCs/>
        </w:rPr>
        <w:t>wo adjunct methods instructors from WCU’s COE co-teach science and language arts at The Catamount School; one tenured faculty member teaches math.</w:t>
      </w:r>
    </w:p>
  </w:footnote>
  <w:footnote w:id="57">
    <w:p w14:paraId="68B439EE" w14:textId="77777777" w:rsidR="00EF1144" w:rsidRDefault="00EF1144" w:rsidP="00C24880">
      <w:pPr>
        <w:pStyle w:val="FootnoteText"/>
      </w:pPr>
      <w:r>
        <w:rPr>
          <w:rStyle w:val="FootnoteReference"/>
        </w:rPr>
        <w:footnoteRef/>
      </w:r>
      <w:r>
        <w:t xml:space="preserve"> </w:t>
      </w:r>
      <w:proofErr w:type="spellStart"/>
      <w:r>
        <w:t>Kuhfeld</w:t>
      </w:r>
      <w:proofErr w:type="spellEnd"/>
      <w:r>
        <w:t xml:space="preserve">, Megan, James </w:t>
      </w:r>
      <w:proofErr w:type="spellStart"/>
      <w:r>
        <w:t>Soland</w:t>
      </w:r>
      <w:proofErr w:type="spellEnd"/>
      <w:r>
        <w:t xml:space="preserve">, Beth </w:t>
      </w:r>
      <w:proofErr w:type="spellStart"/>
      <w:r>
        <w:t>Tarasawa</w:t>
      </w:r>
      <w:proofErr w:type="spellEnd"/>
      <w:r>
        <w:t xml:space="preserve">, Angela Johnson, Erik </w:t>
      </w:r>
      <w:proofErr w:type="spellStart"/>
      <w:r>
        <w:t>Ruzek</w:t>
      </w:r>
      <w:proofErr w:type="spellEnd"/>
      <w:r>
        <w:t>, and Jing Liu. (2020). Projecting the potential impacts of COVID-19 school closures on academic achievement. (</w:t>
      </w:r>
      <w:proofErr w:type="spellStart"/>
      <w:r>
        <w:t>EdWorkingPaper</w:t>
      </w:r>
      <w:proofErr w:type="spellEnd"/>
      <w:r>
        <w:t xml:space="preserve">: 20-226). Retrieved from Annenberg Institute at Brown University: </w:t>
      </w:r>
      <w:hyperlink r:id="rId5" w:history="1">
        <w:r w:rsidRPr="00C46BE9">
          <w:rPr>
            <w:rStyle w:val="Hyperlink"/>
          </w:rPr>
          <w:t>https://doi.org/10.26300/cdrv-yw05</w:t>
        </w:r>
      </w:hyperlink>
      <w:r>
        <w:t xml:space="preserve">; Dorn, E., Hancock, B., </w:t>
      </w:r>
      <w:proofErr w:type="spellStart"/>
      <w:r>
        <w:t>Sarakatsannis</w:t>
      </w:r>
      <w:proofErr w:type="spellEnd"/>
      <w:r>
        <w:t xml:space="preserve">, J., and </w:t>
      </w:r>
      <w:proofErr w:type="spellStart"/>
      <w:r>
        <w:t>Viruleg</w:t>
      </w:r>
      <w:proofErr w:type="spellEnd"/>
      <w:r>
        <w:t xml:space="preserve">, E. (2020). Covid-19 and student learning in the United States: The hurt could last a lifetime. McKinsey and Company. Retrieved from </w:t>
      </w:r>
      <w:hyperlink r:id="rId6" w:history="1">
        <w:r w:rsidRPr="00955EE9">
          <w:rPr>
            <w:color w:val="0000FF"/>
            <w:u w:val="single"/>
          </w:rPr>
          <w:t>https://www.mckinsey.com/~/media/McKinsey/Industries/Public%20Sector/Our%20Insights/COVID-19%20and%20student%20learning%20in%20the%20United%20States%20The%20hurt%20could%20last%20a%20lifetime/COVID-19-and-student-learning-in-the-United-States-FINAL.pdf</w:t>
        </w:r>
      </w:hyperlink>
    </w:p>
  </w:footnote>
  <w:footnote w:id="58">
    <w:p w14:paraId="651F4ECD" w14:textId="77777777" w:rsidR="00EF1144" w:rsidRDefault="00EF1144" w:rsidP="00163554">
      <w:pPr>
        <w:spacing w:after="0"/>
      </w:pPr>
      <w:r>
        <w:rPr>
          <w:rStyle w:val="FootnoteReference"/>
        </w:rPr>
        <w:footnoteRef/>
      </w:r>
      <w:r w:rsidRPr="004462F6">
        <w:rPr>
          <w:sz w:val="20"/>
          <w:szCs w:val="20"/>
        </w:rPr>
        <w:t xml:space="preserve">American School Counselor Association, National Association of School Psychologists. (2020, July 23). </w:t>
      </w:r>
      <w:r w:rsidRPr="00531C9D">
        <w:rPr>
          <w:i/>
          <w:iCs/>
          <w:sz w:val="20"/>
          <w:szCs w:val="20"/>
        </w:rPr>
        <w:t>School Reentry Considerations: Supporting Student Social and Emotional Learning and Mental and Behavioral Health Amidst COVID-19</w:t>
      </w:r>
      <w:r w:rsidRPr="004462F6">
        <w:rPr>
          <w:sz w:val="20"/>
          <w:szCs w:val="20"/>
        </w:rPr>
        <w:t>. Retrieved from American School Counselor Association:</w:t>
      </w:r>
      <w:r>
        <w:rPr>
          <w:sz w:val="20"/>
          <w:szCs w:val="20"/>
        </w:rPr>
        <w:t xml:space="preserve"> </w:t>
      </w:r>
      <w:hyperlink r:id="rId7" w:history="1">
        <w:r w:rsidRPr="002B3F47">
          <w:rPr>
            <w:rStyle w:val="Hyperlink"/>
            <w:sz w:val="20"/>
            <w:szCs w:val="20"/>
          </w:rPr>
          <w:t>https://schoolcounselor.org/asca/media/asca/Publications/SchoolReentry.pdf</w:t>
        </w:r>
      </w:hyperlink>
    </w:p>
  </w:footnote>
  <w:footnote w:id="59">
    <w:p w14:paraId="7D1F0B86" w14:textId="77777777" w:rsidR="00EF1144" w:rsidRDefault="00EF1144" w:rsidP="00C24880">
      <w:pPr>
        <w:pStyle w:val="FootnoteText"/>
      </w:pPr>
      <w:r>
        <w:rPr>
          <w:rStyle w:val="FootnoteReference"/>
        </w:rPr>
        <w:footnoteRef/>
      </w:r>
      <w:r>
        <w:t xml:space="preserve"> </w:t>
      </w:r>
      <w:r>
        <w:rPr>
          <w:i/>
          <w:iCs/>
          <w:noProof/>
        </w:rPr>
        <w:t>Considerations and Racial and Ethnic Minority Groups</w:t>
      </w:r>
      <w:r>
        <w:rPr>
          <w:noProof/>
        </w:rPr>
        <w:t xml:space="preserve">. Retrieved from Centers for Disease Control and Prevention: </w:t>
      </w:r>
      <w:hyperlink r:id="rId8" w:history="1">
        <w:r w:rsidRPr="002B3F47">
          <w:rPr>
            <w:rStyle w:val="Hyperlink"/>
            <w:noProof/>
          </w:rPr>
          <w:t>https://www.cdc.gov/coronavirus/2019-ncov/community/health-equity/race-ethnicity.html?CDC_AA_refVal=https%3A%2F%2Fwww.cdc.gov%2Fcoronavirus%2F2019-ncov%2Fneed-extra-precautions%2Fracial-ethnic-minorities.html</w:t>
        </w:r>
      </w:hyperlink>
      <w:r>
        <w:rPr>
          <w:noProof/>
        </w:rPr>
        <w:t xml:space="preserve"> </w:t>
      </w:r>
    </w:p>
  </w:footnote>
  <w:footnote w:id="60">
    <w:p w14:paraId="405F7557" w14:textId="71D9B5D7" w:rsidR="00EF1144" w:rsidRDefault="00EF1144" w:rsidP="00FE5C5C">
      <w:pPr>
        <w:spacing w:after="0" w:line="240" w:lineRule="auto"/>
        <w:jc w:val="both"/>
      </w:pPr>
      <w:r>
        <w:rPr>
          <w:rStyle w:val="FootnoteReference"/>
        </w:rPr>
        <w:footnoteRef/>
      </w:r>
      <w:r>
        <w:t xml:space="preserve"> </w:t>
      </w:r>
      <w:r w:rsidRPr="00FE5C5C">
        <w:rPr>
          <w:sz w:val="20"/>
          <w:szCs w:val="20"/>
        </w:rPr>
        <w:t xml:space="preserve">In comparison, in 2019-20, enrollment at ECU Community School, Moss Street Partnership School, and The Catamount School (WCU) grew over 2018-19 enrollment, by 38 percent, </w:t>
      </w:r>
      <w:r>
        <w:rPr>
          <w:sz w:val="20"/>
          <w:szCs w:val="20"/>
        </w:rPr>
        <w:t>0</w:t>
      </w:r>
      <w:r w:rsidRPr="00FE5C5C">
        <w:rPr>
          <w:sz w:val="20"/>
          <w:szCs w:val="20"/>
        </w:rPr>
        <w:t xml:space="preserve">.25 percent, and 7 percent, respectively; but declined at the Academy at Middle Fork (Appalachian State) and D.C. Virgo Preparatory Academy (UNCW) by </w:t>
      </w:r>
      <w:r>
        <w:rPr>
          <w:sz w:val="20"/>
          <w:szCs w:val="20"/>
        </w:rPr>
        <w:t>0</w:t>
      </w:r>
      <w:r w:rsidRPr="00FE5C5C">
        <w:rPr>
          <w:sz w:val="20"/>
          <w:szCs w:val="20"/>
        </w:rPr>
        <w:t>.7 percent and 7 percent, respectively.</w:t>
      </w:r>
    </w:p>
  </w:footnote>
  <w:footnote w:id="61">
    <w:p w14:paraId="59F861A6" w14:textId="7B40F76B" w:rsidR="00EF1144" w:rsidRPr="00471258" w:rsidRDefault="00EF1144" w:rsidP="00FE5C5C">
      <w:pPr>
        <w:pStyle w:val="FootnoteText"/>
        <w:rPr>
          <w:strike/>
        </w:rPr>
      </w:pPr>
      <w:r>
        <w:rPr>
          <w:rStyle w:val="FootnoteReference"/>
        </w:rPr>
        <w:footnoteRef/>
      </w:r>
      <w:r>
        <w:t xml:space="preserve"> Niner University Elementary School reported 73 students in its 20-day enrollment</w:t>
      </w:r>
      <w:r w:rsidR="00632CFB">
        <w:t xml:space="preserve"> for 2020-21</w:t>
      </w:r>
      <w:r>
        <w:t>. In a report submitted to the Evaluation Team in March 2020, UNCC’s laboratory school planning team projected enrollment of 150 students for the 2020-21 school year.</w:t>
      </w:r>
      <w:r w:rsidRPr="00471258">
        <w:rPr>
          <w:strike/>
        </w:rPr>
        <w:t xml:space="preserve"> </w:t>
      </w:r>
    </w:p>
  </w:footnote>
  <w:footnote w:id="62">
    <w:p w14:paraId="0BD22969" w14:textId="1C4C7FB9" w:rsidR="00EF1144" w:rsidRDefault="00EF1144">
      <w:pPr>
        <w:pStyle w:val="FootnoteText"/>
      </w:pPr>
      <w:r>
        <w:rPr>
          <w:rStyle w:val="FootnoteReference"/>
        </w:rPr>
        <w:footnoteRef/>
      </w:r>
      <w:r>
        <w:t xml:space="preserve"> See NC State Board of Education. </w:t>
      </w:r>
      <w:r w:rsidRPr="00C774E9">
        <w:rPr>
          <w:rFonts w:cstheme="minorHAnsi"/>
          <w:i/>
          <w:iCs/>
          <w:color w:val="000000"/>
        </w:rPr>
        <w:t xml:space="preserve">Lighting </w:t>
      </w:r>
      <w:r w:rsidRPr="00C774E9">
        <w:rPr>
          <w:rFonts w:cstheme="minorHAnsi"/>
          <w:i/>
          <w:iCs/>
          <w:color w:val="000000"/>
        </w:rPr>
        <w:t>Our Way Forward: NC’s Guidebook for Reopening Public Schools</w:t>
      </w:r>
      <w:r>
        <w:rPr>
          <w:rFonts w:cstheme="minorHAnsi"/>
          <w:i/>
          <w:iCs/>
          <w:color w:val="000000"/>
        </w:rPr>
        <w:t xml:space="preserve">. (June 2020). </w:t>
      </w:r>
      <w:r w:rsidRPr="0064058D">
        <w:rPr>
          <w:rFonts w:cstheme="minorHAnsi"/>
          <w:color w:val="000000"/>
        </w:rPr>
        <w:t xml:space="preserve">NC Department of Public Instruction. Retrieved from </w:t>
      </w:r>
      <w:hyperlink r:id="rId9" w:history="1">
        <w:r w:rsidRPr="0064058D">
          <w:rPr>
            <w:rStyle w:val="Hyperlink"/>
            <w:rFonts w:cstheme="minorHAnsi"/>
          </w:rPr>
          <w:t>https://docs.google.com/document/d/1z5Mp2XzOOPkBYN4YvROz4YOyNIF2UoWq9EZfrjvN4x8/preview?pru=AAABcsdvjwA*1iDZr-5T77y9JJ2lXMcxvg#</w:t>
        </w:r>
      </w:hyperlink>
      <w:r w:rsidRPr="0064058D">
        <w:rPr>
          <w:rFonts w:cstheme="minorHAnsi"/>
          <w:color w:val="000000"/>
        </w:rPr>
        <w:t>.</w:t>
      </w:r>
    </w:p>
  </w:footnote>
  <w:footnote w:id="63">
    <w:p w14:paraId="64895CDF" w14:textId="77777777" w:rsidR="00EF1144" w:rsidRDefault="00EF1144" w:rsidP="0064058D">
      <w:pPr>
        <w:pStyle w:val="FootnoteText"/>
      </w:pPr>
      <w:r>
        <w:rPr>
          <w:rStyle w:val="FootnoteReference"/>
        </w:rPr>
        <w:footnoteRef/>
      </w:r>
      <w:r>
        <w:t xml:space="preserve"> As of this writing, laboratory schools are implementing Plan C remote learning at least until the end of the first nine weeks of school (i.e., first quarter or grading period of the school year) or whenever returning to school is deemed “safe” at which time they will re-evaluate when to transition to their Plan B hybrid learning school reopening plan. </w:t>
      </w:r>
    </w:p>
  </w:footnote>
  <w:footnote w:id="64">
    <w:p w14:paraId="432D27FE" w14:textId="77777777" w:rsidR="00EF1144" w:rsidRPr="0065340E" w:rsidRDefault="00EF1144" w:rsidP="00676949">
      <w:pPr>
        <w:pStyle w:val="FootnoteText"/>
        <w:jc w:val="both"/>
        <w:rPr>
          <w:rFonts w:ascii="Times New Roman" w:hAnsi="Times New Roman" w:cs="Times New Roman"/>
        </w:rPr>
      </w:pPr>
      <w:r w:rsidRPr="0065340E">
        <w:rPr>
          <w:rStyle w:val="FootnoteReference"/>
          <w:rFonts w:ascii="Times New Roman" w:hAnsi="Times New Roman" w:cs="Times New Roman"/>
        </w:rPr>
        <w:footnoteRef/>
      </w:r>
      <w:r w:rsidRPr="0065340E">
        <w:rPr>
          <w:rFonts w:ascii="Times New Roman" w:hAnsi="Times New Roman" w:cs="Times New Roman"/>
        </w:rPr>
        <w:t xml:space="preserve"> </w:t>
      </w:r>
      <w:r w:rsidRPr="004A3BEE">
        <w:rPr>
          <w:rFonts w:cstheme="minorHAnsi"/>
        </w:rPr>
        <w:t xml:space="preserve">ECU and WCU opened their laboratory schools before the Evaluation Team began the evaluation, and thus, they did not complete a planning year status report. </w:t>
      </w:r>
      <w:r>
        <w:rPr>
          <w:rFonts w:cstheme="minorHAnsi"/>
        </w:rPr>
        <w:t>Appalachian State, UNCG, and UNCW completed this status report as will a</w:t>
      </w:r>
      <w:r w:rsidRPr="004A3BEE">
        <w:rPr>
          <w:rFonts w:cstheme="minorHAnsi"/>
        </w:rPr>
        <w:t>ll other UNC System laboratory schools.</w:t>
      </w:r>
    </w:p>
  </w:footnote>
  <w:footnote w:id="65">
    <w:p w14:paraId="37F7D396" w14:textId="77777777" w:rsidR="00EF1144" w:rsidRPr="0065340E" w:rsidRDefault="00EF1144" w:rsidP="00C24880">
      <w:pPr>
        <w:pStyle w:val="FootnoteText"/>
        <w:jc w:val="both"/>
        <w:rPr>
          <w:rFonts w:ascii="Times New Roman" w:hAnsi="Times New Roman" w:cs="Times New Roman"/>
        </w:rPr>
      </w:pPr>
      <w:r w:rsidRPr="0065340E">
        <w:rPr>
          <w:rStyle w:val="FootnoteReference"/>
          <w:rFonts w:ascii="Times New Roman" w:hAnsi="Times New Roman" w:cs="Times New Roman"/>
        </w:rPr>
        <w:footnoteRef/>
      </w:r>
      <w:r w:rsidRPr="0065340E">
        <w:rPr>
          <w:rFonts w:ascii="Times New Roman" w:hAnsi="Times New Roman" w:cs="Times New Roman"/>
        </w:rPr>
        <w:t xml:space="preserve"> </w:t>
      </w:r>
      <w:r w:rsidRPr="000916FD">
        <w:rPr>
          <w:rFonts w:cstheme="minorHAnsi"/>
        </w:rPr>
        <w:t>Other approaches include comparing laboratory school students to (1) students attending other low-performing schools; (2) students who applied to laboratory schools but were unable to attend due to over-subscription (this does not currently exist); and (3) themselves in previous years before they attended the laboratory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4742B" w14:textId="7F7BC7E7" w:rsidR="00EF1144" w:rsidRDefault="00EF1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651FE" w14:textId="0BF17DCA" w:rsidR="00EF1144" w:rsidRDefault="00EF11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CEFED" w14:textId="29F03707" w:rsidR="00EF1144" w:rsidRDefault="00EF1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2A7C"/>
    <w:multiLevelType w:val="hybridMultilevel"/>
    <w:tmpl w:val="1F323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233D8"/>
    <w:multiLevelType w:val="hybridMultilevel"/>
    <w:tmpl w:val="40B01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96A57"/>
    <w:multiLevelType w:val="hybridMultilevel"/>
    <w:tmpl w:val="92E6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915FD8"/>
    <w:multiLevelType w:val="hybridMultilevel"/>
    <w:tmpl w:val="4F52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D15242"/>
    <w:multiLevelType w:val="hybridMultilevel"/>
    <w:tmpl w:val="DA30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F2346"/>
    <w:multiLevelType w:val="hybridMultilevel"/>
    <w:tmpl w:val="B8F0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E83C52"/>
    <w:multiLevelType w:val="hybridMultilevel"/>
    <w:tmpl w:val="A344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45824"/>
    <w:multiLevelType w:val="hybridMultilevel"/>
    <w:tmpl w:val="6646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B7E0B"/>
    <w:multiLevelType w:val="hybridMultilevel"/>
    <w:tmpl w:val="6C3C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4F13DA"/>
    <w:multiLevelType w:val="hybridMultilevel"/>
    <w:tmpl w:val="6A0A6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A4C85"/>
    <w:multiLevelType w:val="hybridMultilevel"/>
    <w:tmpl w:val="7D78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326291"/>
    <w:multiLevelType w:val="hybridMultilevel"/>
    <w:tmpl w:val="6D7E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940C89"/>
    <w:multiLevelType w:val="hybridMultilevel"/>
    <w:tmpl w:val="2626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6E0926"/>
    <w:multiLevelType w:val="hybridMultilevel"/>
    <w:tmpl w:val="40ECE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E2852"/>
    <w:multiLevelType w:val="hybridMultilevel"/>
    <w:tmpl w:val="56846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B80720"/>
    <w:multiLevelType w:val="hybridMultilevel"/>
    <w:tmpl w:val="2048F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734416"/>
    <w:multiLevelType w:val="hybridMultilevel"/>
    <w:tmpl w:val="A51CB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D43F45"/>
    <w:multiLevelType w:val="hybridMultilevel"/>
    <w:tmpl w:val="F9AE0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9787B"/>
    <w:multiLevelType w:val="hybridMultilevel"/>
    <w:tmpl w:val="CE820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0A22E5"/>
    <w:multiLevelType w:val="hybridMultilevel"/>
    <w:tmpl w:val="C9F2C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8750E9"/>
    <w:multiLevelType w:val="hybridMultilevel"/>
    <w:tmpl w:val="7812B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E73609"/>
    <w:multiLevelType w:val="hybridMultilevel"/>
    <w:tmpl w:val="7ED2B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086170"/>
    <w:multiLevelType w:val="hybridMultilevel"/>
    <w:tmpl w:val="9894F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7E4E3C"/>
    <w:multiLevelType w:val="hybridMultilevel"/>
    <w:tmpl w:val="1DFA8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D43F1E"/>
    <w:multiLevelType w:val="hybridMultilevel"/>
    <w:tmpl w:val="4C84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3C414C"/>
    <w:multiLevelType w:val="hybridMultilevel"/>
    <w:tmpl w:val="0D7E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319BB"/>
    <w:multiLevelType w:val="hybridMultilevel"/>
    <w:tmpl w:val="ABB00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A5FA1"/>
    <w:multiLevelType w:val="hybridMultilevel"/>
    <w:tmpl w:val="31FE6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E7D07"/>
    <w:multiLevelType w:val="hybridMultilevel"/>
    <w:tmpl w:val="7B0C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9D13FA"/>
    <w:multiLevelType w:val="hybridMultilevel"/>
    <w:tmpl w:val="1ECE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11287F"/>
    <w:multiLevelType w:val="hybridMultilevel"/>
    <w:tmpl w:val="71924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4A51B8"/>
    <w:multiLevelType w:val="hybridMultilevel"/>
    <w:tmpl w:val="9B2E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9F6C8E"/>
    <w:multiLevelType w:val="hybridMultilevel"/>
    <w:tmpl w:val="860E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E15899"/>
    <w:multiLevelType w:val="hybridMultilevel"/>
    <w:tmpl w:val="4DECA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2A62E3"/>
    <w:multiLevelType w:val="hybridMultilevel"/>
    <w:tmpl w:val="F4200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006297"/>
    <w:multiLevelType w:val="hybridMultilevel"/>
    <w:tmpl w:val="23D2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B50156"/>
    <w:multiLevelType w:val="hybridMultilevel"/>
    <w:tmpl w:val="ED7C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B73614"/>
    <w:multiLevelType w:val="hybridMultilevel"/>
    <w:tmpl w:val="9C70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DC03EA"/>
    <w:multiLevelType w:val="hybridMultilevel"/>
    <w:tmpl w:val="8AA4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0649A4"/>
    <w:multiLevelType w:val="hybridMultilevel"/>
    <w:tmpl w:val="956CC1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25515CA"/>
    <w:multiLevelType w:val="hybridMultilevel"/>
    <w:tmpl w:val="43AE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BE09AD"/>
    <w:multiLevelType w:val="hybridMultilevel"/>
    <w:tmpl w:val="D848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090C67"/>
    <w:multiLevelType w:val="hybridMultilevel"/>
    <w:tmpl w:val="F6C8D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796A99"/>
    <w:multiLevelType w:val="hybridMultilevel"/>
    <w:tmpl w:val="7F98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EC0D9F"/>
    <w:multiLevelType w:val="hybridMultilevel"/>
    <w:tmpl w:val="70142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D20CFB"/>
    <w:multiLevelType w:val="hybridMultilevel"/>
    <w:tmpl w:val="65B2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423FF2"/>
    <w:multiLevelType w:val="hybridMultilevel"/>
    <w:tmpl w:val="CDB89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D1693D"/>
    <w:multiLevelType w:val="hybridMultilevel"/>
    <w:tmpl w:val="19B0C50C"/>
    <w:lvl w:ilvl="0" w:tplc="072A5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E40226"/>
    <w:multiLevelType w:val="hybridMultilevel"/>
    <w:tmpl w:val="311088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A804A0D"/>
    <w:multiLevelType w:val="hybridMultilevel"/>
    <w:tmpl w:val="2B06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5543DD"/>
    <w:multiLevelType w:val="hybridMultilevel"/>
    <w:tmpl w:val="2F9CC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B7B7940"/>
    <w:multiLevelType w:val="hybridMultilevel"/>
    <w:tmpl w:val="C6ECF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2B445B"/>
    <w:multiLevelType w:val="hybridMultilevel"/>
    <w:tmpl w:val="6AB6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49"/>
  </w:num>
  <w:num w:numId="3">
    <w:abstractNumId w:val="10"/>
  </w:num>
  <w:num w:numId="4">
    <w:abstractNumId w:val="16"/>
  </w:num>
  <w:num w:numId="5">
    <w:abstractNumId w:val="24"/>
  </w:num>
  <w:num w:numId="6">
    <w:abstractNumId w:val="37"/>
  </w:num>
  <w:num w:numId="7">
    <w:abstractNumId w:val="18"/>
  </w:num>
  <w:num w:numId="8">
    <w:abstractNumId w:val="9"/>
  </w:num>
  <w:num w:numId="9">
    <w:abstractNumId w:val="17"/>
  </w:num>
  <w:num w:numId="10">
    <w:abstractNumId w:val="19"/>
  </w:num>
  <w:num w:numId="11">
    <w:abstractNumId w:val="50"/>
  </w:num>
  <w:num w:numId="12">
    <w:abstractNumId w:val="35"/>
  </w:num>
  <w:num w:numId="13">
    <w:abstractNumId w:val="42"/>
  </w:num>
  <w:num w:numId="14">
    <w:abstractNumId w:val="12"/>
  </w:num>
  <w:num w:numId="15">
    <w:abstractNumId w:val="28"/>
  </w:num>
  <w:num w:numId="16">
    <w:abstractNumId w:val="46"/>
  </w:num>
  <w:num w:numId="17">
    <w:abstractNumId w:val="14"/>
  </w:num>
  <w:num w:numId="18">
    <w:abstractNumId w:val="38"/>
  </w:num>
  <w:num w:numId="19">
    <w:abstractNumId w:val="15"/>
  </w:num>
  <w:num w:numId="20">
    <w:abstractNumId w:val="6"/>
  </w:num>
  <w:num w:numId="21">
    <w:abstractNumId w:val="48"/>
  </w:num>
  <w:num w:numId="22">
    <w:abstractNumId w:val="39"/>
  </w:num>
  <w:num w:numId="23">
    <w:abstractNumId w:val="11"/>
  </w:num>
  <w:num w:numId="24">
    <w:abstractNumId w:val="30"/>
  </w:num>
  <w:num w:numId="25">
    <w:abstractNumId w:val="13"/>
  </w:num>
  <w:num w:numId="26">
    <w:abstractNumId w:val="52"/>
  </w:num>
  <w:num w:numId="27">
    <w:abstractNumId w:val="40"/>
  </w:num>
  <w:num w:numId="28">
    <w:abstractNumId w:val="36"/>
  </w:num>
  <w:num w:numId="29">
    <w:abstractNumId w:val="29"/>
  </w:num>
  <w:num w:numId="30">
    <w:abstractNumId w:val="27"/>
  </w:num>
  <w:num w:numId="31">
    <w:abstractNumId w:val="8"/>
  </w:num>
  <w:num w:numId="32">
    <w:abstractNumId w:val="3"/>
  </w:num>
  <w:num w:numId="33">
    <w:abstractNumId w:val="26"/>
  </w:num>
  <w:num w:numId="34">
    <w:abstractNumId w:val="25"/>
  </w:num>
  <w:num w:numId="35">
    <w:abstractNumId w:val="21"/>
  </w:num>
  <w:num w:numId="36">
    <w:abstractNumId w:val="5"/>
  </w:num>
  <w:num w:numId="37">
    <w:abstractNumId w:val="0"/>
  </w:num>
  <w:num w:numId="38">
    <w:abstractNumId w:val="33"/>
  </w:num>
  <w:num w:numId="39">
    <w:abstractNumId w:val="44"/>
  </w:num>
  <w:num w:numId="40">
    <w:abstractNumId w:val="4"/>
  </w:num>
  <w:num w:numId="41">
    <w:abstractNumId w:val="2"/>
  </w:num>
  <w:num w:numId="42">
    <w:abstractNumId w:val="34"/>
  </w:num>
  <w:num w:numId="43">
    <w:abstractNumId w:val="31"/>
  </w:num>
  <w:num w:numId="44">
    <w:abstractNumId w:val="32"/>
  </w:num>
  <w:num w:numId="45">
    <w:abstractNumId w:val="1"/>
  </w:num>
  <w:num w:numId="46">
    <w:abstractNumId w:val="20"/>
  </w:num>
  <w:num w:numId="47">
    <w:abstractNumId w:val="45"/>
  </w:num>
  <w:num w:numId="48">
    <w:abstractNumId w:val="51"/>
  </w:num>
  <w:num w:numId="49">
    <w:abstractNumId w:val="41"/>
  </w:num>
  <w:num w:numId="50">
    <w:abstractNumId w:val="22"/>
  </w:num>
  <w:num w:numId="51">
    <w:abstractNumId w:val="23"/>
  </w:num>
  <w:num w:numId="52">
    <w:abstractNumId w:val="7"/>
  </w:num>
  <w:num w:numId="53">
    <w:abstractNumId w:val="43"/>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li Kim">
    <w15:presenceInfo w15:providerId="None" w15:userId="Juli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1D0"/>
    <w:rsid w:val="00001B93"/>
    <w:rsid w:val="00002839"/>
    <w:rsid w:val="00003795"/>
    <w:rsid w:val="000042FF"/>
    <w:rsid w:val="000049B8"/>
    <w:rsid w:val="000051E1"/>
    <w:rsid w:val="0000610C"/>
    <w:rsid w:val="00006303"/>
    <w:rsid w:val="00006364"/>
    <w:rsid w:val="00007F11"/>
    <w:rsid w:val="00010D8A"/>
    <w:rsid w:val="000126C9"/>
    <w:rsid w:val="00013653"/>
    <w:rsid w:val="000136CA"/>
    <w:rsid w:val="00013B96"/>
    <w:rsid w:val="00014572"/>
    <w:rsid w:val="000148DF"/>
    <w:rsid w:val="00014B36"/>
    <w:rsid w:val="00014F9B"/>
    <w:rsid w:val="0001595B"/>
    <w:rsid w:val="00015BD1"/>
    <w:rsid w:val="00015C65"/>
    <w:rsid w:val="00015FCD"/>
    <w:rsid w:val="0001626D"/>
    <w:rsid w:val="000168B5"/>
    <w:rsid w:val="00016961"/>
    <w:rsid w:val="000169BA"/>
    <w:rsid w:val="00016C97"/>
    <w:rsid w:val="000175AF"/>
    <w:rsid w:val="00017A95"/>
    <w:rsid w:val="00017C1C"/>
    <w:rsid w:val="0002008D"/>
    <w:rsid w:val="0002091F"/>
    <w:rsid w:val="00020C47"/>
    <w:rsid w:val="0002119F"/>
    <w:rsid w:val="0002121E"/>
    <w:rsid w:val="00021FD9"/>
    <w:rsid w:val="000225AD"/>
    <w:rsid w:val="000228E8"/>
    <w:rsid w:val="00022A82"/>
    <w:rsid w:val="000238B0"/>
    <w:rsid w:val="00023E54"/>
    <w:rsid w:val="0002510D"/>
    <w:rsid w:val="00025870"/>
    <w:rsid w:val="00025A2D"/>
    <w:rsid w:val="0002617A"/>
    <w:rsid w:val="00026C85"/>
    <w:rsid w:val="00026CFE"/>
    <w:rsid w:val="00030814"/>
    <w:rsid w:val="00032EEB"/>
    <w:rsid w:val="0003378A"/>
    <w:rsid w:val="00033EDE"/>
    <w:rsid w:val="00033F3D"/>
    <w:rsid w:val="0003411B"/>
    <w:rsid w:val="00034E0D"/>
    <w:rsid w:val="0003587F"/>
    <w:rsid w:val="00035EB5"/>
    <w:rsid w:val="00036E50"/>
    <w:rsid w:val="00036F04"/>
    <w:rsid w:val="0003725A"/>
    <w:rsid w:val="00037841"/>
    <w:rsid w:val="00037B20"/>
    <w:rsid w:val="0004161E"/>
    <w:rsid w:val="0004206B"/>
    <w:rsid w:val="00042169"/>
    <w:rsid w:val="00042366"/>
    <w:rsid w:val="00044BD2"/>
    <w:rsid w:val="00044C15"/>
    <w:rsid w:val="00044D91"/>
    <w:rsid w:val="00044F4C"/>
    <w:rsid w:val="00045537"/>
    <w:rsid w:val="00045694"/>
    <w:rsid w:val="00045AEF"/>
    <w:rsid w:val="0004705E"/>
    <w:rsid w:val="00050C36"/>
    <w:rsid w:val="000518E7"/>
    <w:rsid w:val="00051B9C"/>
    <w:rsid w:val="00051EAB"/>
    <w:rsid w:val="00052930"/>
    <w:rsid w:val="00053101"/>
    <w:rsid w:val="00053BD0"/>
    <w:rsid w:val="000543B5"/>
    <w:rsid w:val="00054C2A"/>
    <w:rsid w:val="00054F8C"/>
    <w:rsid w:val="00056A8E"/>
    <w:rsid w:val="00056C73"/>
    <w:rsid w:val="0005796C"/>
    <w:rsid w:val="00060CAF"/>
    <w:rsid w:val="00060FB5"/>
    <w:rsid w:val="0006145B"/>
    <w:rsid w:val="00061663"/>
    <w:rsid w:val="00062254"/>
    <w:rsid w:val="0006307E"/>
    <w:rsid w:val="00063EBB"/>
    <w:rsid w:val="000641C6"/>
    <w:rsid w:val="0006456C"/>
    <w:rsid w:val="00064E84"/>
    <w:rsid w:val="00065667"/>
    <w:rsid w:val="0006579C"/>
    <w:rsid w:val="0006650E"/>
    <w:rsid w:val="000666D9"/>
    <w:rsid w:val="00066C72"/>
    <w:rsid w:val="000712EF"/>
    <w:rsid w:val="000719D1"/>
    <w:rsid w:val="00071DC8"/>
    <w:rsid w:val="00071F7D"/>
    <w:rsid w:val="000721D8"/>
    <w:rsid w:val="00072305"/>
    <w:rsid w:val="0007396F"/>
    <w:rsid w:val="00073B89"/>
    <w:rsid w:val="00074ACE"/>
    <w:rsid w:val="0007514F"/>
    <w:rsid w:val="000758AF"/>
    <w:rsid w:val="00076186"/>
    <w:rsid w:val="00077064"/>
    <w:rsid w:val="00077AAF"/>
    <w:rsid w:val="00082909"/>
    <w:rsid w:val="00083295"/>
    <w:rsid w:val="000834CC"/>
    <w:rsid w:val="00083871"/>
    <w:rsid w:val="00083A0D"/>
    <w:rsid w:val="00083B0B"/>
    <w:rsid w:val="0008412D"/>
    <w:rsid w:val="00084835"/>
    <w:rsid w:val="0008490D"/>
    <w:rsid w:val="00084AE9"/>
    <w:rsid w:val="0008514A"/>
    <w:rsid w:val="00085A5D"/>
    <w:rsid w:val="00085ED5"/>
    <w:rsid w:val="0008609E"/>
    <w:rsid w:val="00087ECF"/>
    <w:rsid w:val="0009077C"/>
    <w:rsid w:val="00091202"/>
    <w:rsid w:val="000916FD"/>
    <w:rsid w:val="00091E8F"/>
    <w:rsid w:val="000924BC"/>
    <w:rsid w:val="00093FDF"/>
    <w:rsid w:val="00094906"/>
    <w:rsid w:val="00094D6A"/>
    <w:rsid w:val="00096888"/>
    <w:rsid w:val="000969F1"/>
    <w:rsid w:val="00096BC0"/>
    <w:rsid w:val="0009751E"/>
    <w:rsid w:val="000A03D4"/>
    <w:rsid w:val="000A1379"/>
    <w:rsid w:val="000A1779"/>
    <w:rsid w:val="000A17B1"/>
    <w:rsid w:val="000A24E3"/>
    <w:rsid w:val="000A3094"/>
    <w:rsid w:val="000A30AD"/>
    <w:rsid w:val="000A45C0"/>
    <w:rsid w:val="000A47B6"/>
    <w:rsid w:val="000A4DA1"/>
    <w:rsid w:val="000A56F5"/>
    <w:rsid w:val="000A56FD"/>
    <w:rsid w:val="000A5788"/>
    <w:rsid w:val="000A5E79"/>
    <w:rsid w:val="000A6316"/>
    <w:rsid w:val="000A6F1D"/>
    <w:rsid w:val="000A73B0"/>
    <w:rsid w:val="000B0B7A"/>
    <w:rsid w:val="000B161F"/>
    <w:rsid w:val="000B1947"/>
    <w:rsid w:val="000B19DB"/>
    <w:rsid w:val="000B1C4D"/>
    <w:rsid w:val="000B1D57"/>
    <w:rsid w:val="000B1EE4"/>
    <w:rsid w:val="000B2D59"/>
    <w:rsid w:val="000B314A"/>
    <w:rsid w:val="000B37E2"/>
    <w:rsid w:val="000B3D6D"/>
    <w:rsid w:val="000B40DB"/>
    <w:rsid w:val="000B431E"/>
    <w:rsid w:val="000B45A5"/>
    <w:rsid w:val="000B467F"/>
    <w:rsid w:val="000B6BE0"/>
    <w:rsid w:val="000B6FA2"/>
    <w:rsid w:val="000B6FDC"/>
    <w:rsid w:val="000C0495"/>
    <w:rsid w:val="000C0FF3"/>
    <w:rsid w:val="000C296A"/>
    <w:rsid w:val="000C2978"/>
    <w:rsid w:val="000C2FB1"/>
    <w:rsid w:val="000C5669"/>
    <w:rsid w:val="000C57D8"/>
    <w:rsid w:val="000C5D84"/>
    <w:rsid w:val="000C61DE"/>
    <w:rsid w:val="000C6881"/>
    <w:rsid w:val="000C7419"/>
    <w:rsid w:val="000C769F"/>
    <w:rsid w:val="000C797E"/>
    <w:rsid w:val="000D0A3A"/>
    <w:rsid w:val="000D17B1"/>
    <w:rsid w:val="000D1942"/>
    <w:rsid w:val="000D1A12"/>
    <w:rsid w:val="000D1A53"/>
    <w:rsid w:val="000D2961"/>
    <w:rsid w:val="000D2D09"/>
    <w:rsid w:val="000D439E"/>
    <w:rsid w:val="000D5542"/>
    <w:rsid w:val="000D567D"/>
    <w:rsid w:val="000D59FB"/>
    <w:rsid w:val="000D5DE7"/>
    <w:rsid w:val="000D5F88"/>
    <w:rsid w:val="000D699D"/>
    <w:rsid w:val="000D7FA3"/>
    <w:rsid w:val="000E0FFB"/>
    <w:rsid w:val="000E111C"/>
    <w:rsid w:val="000E1FC3"/>
    <w:rsid w:val="000E2D57"/>
    <w:rsid w:val="000E4412"/>
    <w:rsid w:val="000E47DB"/>
    <w:rsid w:val="000E4AD3"/>
    <w:rsid w:val="000E4B86"/>
    <w:rsid w:val="000E50CD"/>
    <w:rsid w:val="000E5375"/>
    <w:rsid w:val="000E5A04"/>
    <w:rsid w:val="000E6822"/>
    <w:rsid w:val="000E6ED3"/>
    <w:rsid w:val="000E6FD8"/>
    <w:rsid w:val="000E7254"/>
    <w:rsid w:val="000E7AA4"/>
    <w:rsid w:val="000F0600"/>
    <w:rsid w:val="000F0C19"/>
    <w:rsid w:val="000F27AA"/>
    <w:rsid w:val="000F2FA1"/>
    <w:rsid w:val="000F3123"/>
    <w:rsid w:val="000F360F"/>
    <w:rsid w:val="000F38F7"/>
    <w:rsid w:val="000F3EF7"/>
    <w:rsid w:val="000F495E"/>
    <w:rsid w:val="000F4D79"/>
    <w:rsid w:val="000F54E6"/>
    <w:rsid w:val="000F5903"/>
    <w:rsid w:val="000F5DED"/>
    <w:rsid w:val="000F621A"/>
    <w:rsid w:val="000F666C"/>
    <w:rsid w:val="000F6BE1"/>
    <w:rsid w:val="000F6CEB"/>
    <w:rsid w:val="000F7821"/>
    <w:rsid w:val="000F7AE9"/>
    <w:rsid w:val="000F7D33"/>
    <w:rsid w:val="000F7EC4"/>
    <w:rsid w:val="0010110A"/>
    <w:rsid w:val="00101865"/>
    <w:rsid w:val="00101C59"/>
    <w:rsid w:val="00101FBA"/>
    <w:rsid w:val="00102C13"/>
    <w:rsid w:val="00102DF3"/>
    <w:rsid w:val="00103A1D"/>
    <w:rsid w:val="00104306"/>
    <w:rsid w:val="00104B70"/>
    <w:rsid w:val="0010593D"/>
    <w:rsid w:val="00105D9A"/>
    <w:rsid w:val="00106A70"/>
    <w:rsid w:val="00107B6E"/>
    <w:rsid w:val="00110163"/>
    <w:rsid w:val="00110639"/>
    <w:rsid w:val="0011098C"/>
    <w:rsid w:val="00110B28"/>
    <w:rsid w:val="00111815"/>
    <w:rsid w:val="00112842"/>
    <w:rsid w:val="001131A1"/>
    <w:rsid w:val="001139BA"/>
    <w:rsid w:val="001145DC"/>
    <w:rsid w:val="001147F0"/>
    <w:rsid w:val="00114956"/>
    <w:rsid w:val="00114D83"/>
    <w:rsid w:val="001156ED"/>
    <w:rsid w:val="0011579E"/>
    <w:rsid w:val="00115EA5"/>
    <w:rsid w:val="00115F03"/>
    <w:rsid w:val="00116C18"/>
    <w:rsid w:val="001177E2"/>
    <w:rsid w:val="001208F5"/>
    <w:rsid w:val="00120991"/>
    <w:rsid w:val="00121167"/>
    <w:rsid w:val="001211E1"/>
    <w:rsid w:val="001213E8"/>
    <w:rsid w:val="00121967"/>
    <w:rsid w:val="00121E6B"/>
    <w:rsid w:val="001225A0"/>
    <w:rsid w:val="001226EC"/>
    <w:rsid w:val="00122C58"/>
    <w:rsid w:val="00122C86"/>
    <w:rsid w:val="00123A50"/>
    <w:rsid w:val="00124C58"/>
    <w:rsid w:val="00124D92"/>
    <w:rsid w:val="001250FE"/>
    <w:rsid w:val="00125FCA"/>
    <w:rsid w:val="0012661E"/>
    <w:rsid w:val="00126A3A"/>
    <w:rsid w:val="00127F5D"/>
    <w:rsid w:val="00130018"/>
    <w:rsid w:val="00130FF5"/>
    <w:rsid w:val="001311A9"/>
    <w:rsid w:val="00131263"/>
    <w:rsid w:val="001315D5"/>
    <w:rsid w:val="001319FD"/>
    <w:rsid w:val="0013252D"/>
    <w:rsid w:val="0013257D"/>
    <w:rsid w:val="001326EF"/>
    <w:rsid w:val="00133550"/>
    <w:rsid w:val="00133660"/>
    <w:rsid w:val="00133F8A"/>
    <w:rsid w:val="0013723A"/>
    <w:rsid w:val="001378B0"/>
    <w:rsid w:val="00137C8D"/>
    <w:rsid w:val="0014038D"/>
    <w:rsid w:val="00140F9C"/>
    <w:rsid w:val="001411AD"/>
    <w:rsid w:val="00141362"/>
    <w:rsid w:val="00141490"/>
    <w:rsid w:val="00141B8A"/>
    <w:rsid w:val="00141EFE"/>
    <w:rsid w:val="00142918"/>
    <w:rsid w:val="00142A84"/>
    <w:rsid w:val="00142FA6"/>
    <w:rsid w:val="00142FDD"/>
    <w:rsid w:val="001431EE"/>
    <w:rsid w:val="0014350D"/>
    <w:rsid w:val="00143729"/>
    <w:rsid w:val="001447D2"/>
    <w:rsid w:val="0014544B"/>
    <w:rsid w:val="00146517"/>
    <w:rsid w:val="0014797E"/>
    <w:rsid w:val="001511FD"/>
    <w:rsid w:val="00151726"/>
    <w:rsid w:val="00152008"/>
    <w:rsid w:val="0015209E"/>
    <w:rsid w:val="00152488"/>
    <w:rsid w:val="00152968"/>
    <w:rsid w:val="00153237"/>
    <w:rsid w:val="001537CA"/>
    <w:rsid w:val="00154370"/>
    <w:rsid w:val="00154677"/>
    <w:rsid w:val="00154E04"/>
    <w:rsid w:val="00155240"/>
    <w:rsid w:val="00155E1E"/>
    <w:rsid w:val="0015675A"/>
    <w:rsid w:val="001574E0"/>
    <w:rsid w:val="001576B5"/>
    <w:rsid w:val="001602EB"/>
    <w:rsid w:val="00160D79"/>
    <w:rsid w:val="00161099"/>
    <w:rsid w:val="0016110F"/>
    <w:rsid w:val="001617DB"/>
    <w:rsid w:val="001632B8"/>
    <w:rsid w:val="00163554"/>
    <w:rsid w:val="00166FF7"/>
    <w:rsid w:val="00167208"/>
    <w:rsid w:val="001673D9"/>
    <w:rsid w:val="0016769D"/>
    <w:rsid w:val="001677FE"/>
    <w:rsid w:val="00167E91"/>
    <w:rsid w:val="001704C2"/>
    <w:rsid w:val="00170605"/>
    <w:rsid w:val="001712D1"/>
    <w:rsid w:val="001726DB"/>
    <w:rsid w:val="00172E5B"/>
    <w:rsid w:val="0017398C"/>
    <w:rsid w:val="00173AF8"/>
    <w:rsid w:val="00173F5F"/>
    <w:rsid w:val="001748CA"/>
    <w:rsid w:val="00175063"/>
    <w:rsid w:val="00175D09"/>
    <w:rsid w:val="00176E54"/>
    <w:rsid w:val="00176F0C"/>
    <w:rsid w:val="0017706E"/>
    <w:rsid w:val="001806E3"/>
    <w:rsid w:val="00180D80"/>
    <w:rsid w:val="001812E8"/>
    <w:rsid w:val="001816BB"/>
    <w:rsid w:val="00181B57"/>
    <w:rsid w:val="00182127"/>
    <w:rsid w:val="0018358C"/>
    <w:rsid w:val="00183826"/>
    <w:rsid w:val="001849E9"/>
    <w:rsid w:val="00184DE7"/>
    <w:rsid w:val="00184EC3"/>
    <w:rsid w:val="00184F7A"/>
    <w:rsid w:val="00185C9D"/>
    <w:rsid w:val="00187AFC"/>
    <w:rsid w:val="00190DE9"/>
    <w:rsid w:val="0019133E"/>
    <w:rsid w:val="001913F1"/>
    <w:rsid w:val="00191615"/>
    <w:rsid w:val="00191968"/>
    <w:rsid w:val="00191AE5"/>
    <w:rsid w:val="0019229F"/>
    <w:rsid w:val="00192953"/>
    <w:rsid w:val="0019317C"/>
    <w:rsid w:val="0019456D"/>
    <w:rsid w:val="00194C30"/>
    <w:rsid w:val="00194E3F"/>
    <w:rsid w:val="00194F3A"/>
    <w:rsid w:val="0019551E"/>
    <w:rsid w:val="00195AAC"/>
    <w:rsid w:val="00196EE0"/>
    <w:rsid w:val="001A0821"/>
    <w:rsid w:val="001A0D0D"/>
    <w:rsid w:val="001A216A"/>
    <w:rsid w:val="001A298D"/>
    <w:rsid w:val="001A2B14"/>
    <w:rsid w:val="001A3049"/>
    <w:rsid w:val="001A3561"/>
    <w:rsid w:val="001A449E"/>
    <w:rsid w:val="001A47EE"/>
    <w:rsid w:val="001A5A7E"/>
    <w:rsid w:val="001A5D86"/>
    <w:rsid w:val="001A5DDA"/>
    <w:rsid w:val="001A6266"/>
    <w:rsid w:val="001A6348"/>
    <w:rsid w:val="001A6915"/>
    <w:rsid w:val="001A7335"/>
    <w:rsid w:val="001A763C"/>
    <w:rsid w:val="001B0576"/>
    <w:rsid w:val="001B0583"/>
    <w:rsid w:val="001B1478"/>
    <w:rsid w:val="001B1A1F"/>
    <w:rsid w:val="001B1DFB"/>
    <w:rsid w:val="001B2079"/>
    <w:rsid w:val="001B282E"/>
    <w:rsid w:val="001B45E8"/>
    <w:rsid w:val="001B494E"/>
    <w:rsid w:val="001B4B94"/>
    <w:rsid w:val="001B4BC3"/>
    <w:rsid w:val="001B5004"/>
    <w:rsid w:val="001B61CA"/>
    <w:rsid w:val="001B65AC"/>
    <w:rsid w:val="001B6B85"/>
    <w:rsid w:val="001B74D6"/>
    <w:rsid w:val="001B7917"/>
    <w:rsid w:val="001C144D"/>
    <w:rsid w:val="001C1BE0"/>
    <w:rsid w:val="001C1E49"/>
    <w:rsid w:val="001C3AC5"/>
    <w:rsid w:val="001C3B8B"/>
    <w:rsid w:val="001C40AA"/>
    <w:rsid w:val="001C44E5"/>
    <w:rsid w:val="001C50A2"/>
    <w:rsid w:val="001C5269"/>
    <w:rsid w:val="001C5584"/>
    <w:rsid w:val="001C5972"/>
    <w:rsid w:val="001C5A41"/>
    <w:rsid w:val="001C6254"/>
    <w:rsid w:val="001C64C0"/>
    <w:rsid w:val="001C69EF"/>
    <w:rsid w:val="001C7336"/>
    <w:rsid w:val="001C7448"/>
    <w:rsid w:val="001C7590"/>
    <w:rsid w:val="001C78B8"/>
    <w:rsid w:val="001C7A43"/>
    <w:rsid w:val="001D0423"/>
    <w:rsid w:val="001D04B1"/>
    <w:rsid w:val="001D050F"/>
    <w:rsid w:val="001D078D"/>
    <w:rsid w:val="001D0EB1"/>
    <w:rsid w:val="001D0F28"/>
    <w:rsid w:val="001D1C63"/>
    <w:rsid w:val="001D1FE6"/>
    <w:rsid w:val="001D2C5E"/>
    <w:rsid w:val="001D2D08"/>
    <w:rsid w:val="001D301D"/>
    <w:rsid w:val="001D3070"/>
    <w:rsid w:val="001D4244"/>
    <w:rsid w:val="001D4894"/>
    <w:rsid w:val="001D4C5C"/>
    <w:rsid w:val="001D5197"/>
    <w:rsid w:val="001D5560"/>
    <w:rsid w:val="001D5948"/>
    <w:rsid w:val="001D5BB6"/>
    <w:rsid w:val="001D61C9"/>
    <w:rsid w:val="001D7B74"/>
    <w:rsid w:val="001E006D"/>
    <w:rsid w:val="001E0C82"/>
    <w:rsid w:val="001E0FE3"/>
    <w:rsid w:val="001E1123"/>
    <w:rsid w:val="001E1A49"/>
    <w:rsid w:val="001E1A88"/>
    <w:rsid w:val="001E1B16"/>
    <w:rsid w:val="001E1B93"/>
    <w:rsid w:val="001E273E"/>
    <w:rsid w:val="001E39A6"/>
    <w:rsid w:val="001E4C7F"/>
    <w:rsid w:val="001E4C8F"/>
    <w:rsid w:val="001E519E"/>
    <w:rsid w:val="001E526C"/>
    <w:rsid w:val="001E6150"/>
    <w:rsid w:val="001E648E"/>
    <w:rsid w:val="001E7469"/>
    <w:rsid w:val="001F0A19"/>
    <w:rsid w:val="001F0E0B"/>
    <w:rsid w:val="001F1777"/>
    <w:rsid w:val="001F21E4"/>
    <w:rsid w:val="001F23A2"/>
    <w:rsid w:val="001F3642"/>
    <w:rsid w:val="001F3756"/>
    <w:rsid w:val="001F398A"/>
    <w:rsid w:val="001F469A"/>
    <w:rsid w:val="001F4C87"/>
    <w:rsid w:val="001F4F2D"/>
    <w:rsid w:val="001F508D"/>
    <w:rsid w:val="001F54BB"/>
    <w:rsid w:val="001F635E"/>
    <w:rsid w:val="001F6461"/>
    <w:rsid w:val="001F6975"/>
    <w:rsid w:val="001F6976"/>
    <w:rsid w:val="001F6C0F"/>
    <w:rsid w:val="001F6E42"/>
    <w:rsid w:val="001F7ADC"/>
    <w:rsid w:val="00200704"/>
    <w:rsid w:val="002012B2"/>
    <w:rsid w:val="002015F3"/>
    <w:rsid w:val="00201744"/>
    <w:rsid w:val="002019F6"/>
    <w:rsid w:val="00203438"/>
    <w:rsid w:val="00203B05"/>
    <w:rsid w:val="00203DD6"/>
    <w:rsid w:val="00204CF0"/>
    <w:rsid w:val="002050A1"/>
    <w:rsid w:val="002051CE"/>
    <w:rsid w:val="0020589D"/>
    <w:rsid w:val="00205AEE"/>
    <w:rsid w:val="00205B34"/>
    <w:rsid w:val="00205DF4"/>
    <w:rsid w:val="00206641"/>
    <w:rsid w:val="00206A37"/>
    <w:rsid w:val="00206E39"/>
    <w:rsid w:val="00206EBF"/>
    <w:rsid w:val="0020709E"/>
    <w:rsid w:val="002075F4"/>
    <w:rsid w:val="00207E37"/>
    <w:rsid w:val="00207F0D"/>
    <w:rsid w:val="002101BD"/>
    <w:rsid w:val="0021062E"/>
    <w:rsid w:val="00210AE9"/>
    <w:rsid w:val="00211671"/>
    <w:rsid w:val="00211918"/>
    <w:rsid w:val="00211A03"/>
    <w:rsid w:val="002121EA"/>
    <w:rsid w:val="002132BC"/>
    <w:rsid w:val="00213A53"/>
    <w:rsid w:val="0021445B"/>
    <w:rsid w:val="0021579A"/>
    <w:rsid w:val="00215948"/>
    <w:rsid w:val="00217042"/>
    <w:rsid w:val="00217401"/>
    <w:rsid w:val="002211C4"/>
    <w:rsid w:val="002212E5"/>
    <w:rsid w:val="00221315"/>
    <w:rsid w:val="00222040"/>
    <w:rsid w:val="002224AC"/>
    <w:rsid w:val="00222562"/>
    <w:rsid w:val="00222A91"/>
    <w:rsid w:val="00223076"/>
    <w:rsid w:val="002236C5"/>
    <w:rsid w:val="0022372E"/>
    <w:rsid w:val="00223D28"/>
    <w:rsid w:val="002242C8"/>
    <w:rsid w:val="00224745"/>
    <w:rsid w:val="00224CDF"/>
    <w:rsid w:val="00225ACC"/>
    <w:rsid w:val="00225E30"/>
    <w:rsid w:val="0022623B"/>
    <w:rsid w:val="00226750"/>
    <w:rsid w:val="0022687B"/>
    <w:rsid w:val="00226DCB"/>
    <w:rsid w:val="00227071"/>
    <w:rsid w:val="00227B66"/>
    <w:rsid w:val="00230AD2"/>
    <w:rsid w:val="00230BF4"/>
    <w:rsid w:val="00230CCC"/>
    <w:rsid w:val="00231F0A"/>
    <w:rsid w:val="0023217A"/>
    <w:rsid w:val="002327F4"/>
    <w:rsid w:val="00233CBB"/>
    <w:rsid w:val="00234882"/>
    <w:rsid w:val="00234A38"/>
    <w:rsid w:val="00235B07"/>
    <w:rsid w:val="00235EF2"/>
    <w:rsid w:val="00236B24"/>
    <w:rsid w:val="00237742"/>
    <w:rsid w:val="00237A48"/>
    <w:rsid w:val="00237EE8"/>
    <w:rsid w:val="00237F58"/>
    <w:rsid w:val="0024001E"/>
    <w:rsid w:val="00240C49"/>
    <w:rsid w:val="00240F21"/>
    <w:rsid w:val="002417A3"/>
    <w:rsid w:val="002421DF"/>
    <w:rsid w:val="00242F82"/>
    <w:rsid w:val="00243DD3"/>
    <w:rsid w:val="00243E10"/>
    <w:rsid w:val="002444D8"/>
    <w:rsid w:val="002448A8"/>
    <w:rsid w:val="00245B7D"/>
    <w:rsid w:val="00247C68"/>
    <w:rsid w:val="002501DC"/>
    <w:rsid w:val="0025114B"/>
    <w:rsid w:val="00251F99"/>
    <w:rsid w:val="002520FD"/>
    <w:rsid w:val="002524B1"/>
    <w:rsid w:val="00252868"/>
    <w:rsid w:val="00253518"/>
    <w:rsid w:val="00253697"/>
    <w:rsid w:val="002540A7"/>
    <w:rsid w:val="00254A87"/>
    <w:rsid w:val="002554CB"/>
    <w:rsid w:val="00256791"/>
    <w:rsid w:val="00256AAB"/>
    <w:rsid w:val="00257642"/>
    <w:rsid w:val="00257D3E"/>
    <w:rsid w:val="00257EF8"/>
    <w:rsid w:val="00260242"/>
    <w:rsid w:val="00260805"/>
    <w:rsid w:val="00261A6F"/>
    <w:rsid w:val="00261B7F"/>
    <w:rsid w:val="00261F9B"/>
    <w:rsid w:val="00262542"/>
    <w:rsid w:val="00262566"/>
    <w:rsid w:val="002634C3"/>
    <w:rsid w:val="00263CCB"/>
    <w:rsid w:val="002640E5"/>
    <w:rsid w:val="002642E3"/>
    <w:rsid w:val="00264A0A"/>
    <w:rsid w:val="00264C6A"/>
    <w:rsid w:val="00265337"/>
    <w:rsid w:val="00265ADB"/>
    <w:rsid w:val="00266248"/>
    <w:rsid w:val="0026641D"/>
    <w:rsid w:val="00266E75"/>
    <w:rsid w:val="00267DA3"/>
    <w:rsid w:val="00267E40"/>
    <w:rsid w:val="00270E8B"/>
    <w:rsid w:val="00272529"/>
    <w:rsid w:val="00272AE5"/>
    <w:rsid w:val="0027384B"/>
    <w:rsid w:val="00273B72"/>
    <w:rsid w:val="002748A0"/>
    <w:rsid w:val="00274971"/>
    <w:rsid w:val="0027572D"/>
    <w:rsid w:val="00275E85"/>
    <w:rsid w:val="00276883"/>
    <w:rsid w:val="002772E1"/>
    <w:rsid w:val="00277496"/>
    <w:rsid w:val="002778E6"/>
    <w:rsid w:val="00281BA9"/>
    <w:rsid w:val="0028219A"/>
    <w:rsid w:val="002827C5"/>
    <w:rsid w:val="002830C7"/>
    <w:rsid w:val="002837C9"/>
    <w:rsid w:val="00284035"/>
    <w:rsid w:val="00284E6A"/>
    <w:rsid w:val="002856A0"/>
    <w:rsid w:val="00285D23"/>
    <w:rsid w:val="002875AE"/>
    <w:rsid w:val="00287891"/>
    <w:rsid w:val="002879A0"/>
    <w:rsid w:val="00287A36"/>
    <w:rsid w:val="00287A3E"/>
    <w:rsid w:val="00287AE3"/>
    <w:rsid w:val="00287F6A"/>
    <w:rsid w:val="002901E5"/>
    <w:rsid w:val="002908BC"/>
    <w:rsid w:val="00290EE2"/>
    <w:rsid w:val="002910D7"/>
    <w:rsid w:val="00291986"/>
    <w:rsid w:val="00291CD6"/>
    <w:rsid w:val="00291E57"/>
    <w:rsid w:val="00292359"/>
    <w:rsid w:val="00292AA0"/>
    <w:rsid w:val="00292E66"/>
    <w:rsid w:val="0029369E"/>
    <w:rsid w:val="00293BB4"/>
    <w:rsid w:val="00294762"/>
    <w:rsid w:val="00295574"/>
    <w:rsid w:val="00295643"/>
    <w:rsid w:val="002958D0"/>
    <w:rsid w:val="00295DEC"/>
    <w:rsid w:val="00297154"/>
    <w:rsid w:val="0029722F"/>
    <w:rsid w:val="002975F2"/>
    <w:rsid w:val="00297775"/>
    <w:rsid w:val="00297BF9"/>
    <w:rsid w:val="002A092D"/>
    <w:rsid w:val="002A0E29"/>
    <w:rsid w:val="002A1DDA"/>
    <w:rsid w:val="002A1F50"/>
    <w:rsid w:val="002A2AB0"/>
    <w:rsid w:val="002A2AE7"/>
    <w:rsid w:val="002A2B11"/>
    <w:rsid w:val="002A30DC"/>
    <w:rsid w:val="002A3890"/>
    <w:rsid w:val="002A40E4"/>
    <w:rsid w:val="002A45A0"/>
    <w:rsid w:val="002A460C"/>
    <w:rsid w:val="002A480B"/>
    <w:rsid w:val="002A512A"/>
    <w:rsid w:val="002A5290"/>
    <w:rsid w:val="002A5903"/>
    <w:rsid w:val="002A66CC"/>
    <w:rsid w:val="002A6EE0"/>
    <w:rsid w:val="002A7519"/>
    <w:rsid w:val="002A7F74"/>
    <w:rsid w:val="002A7FED"/>
    <w:rsid w:val="002B09D1"/>
    <w:rsid w:val="002B09EF"/>
    <w:rsid w:val="002B13B4"/>
    <w:rsid w:val="002B1446"/>
    <w:rsid w:val="002B16E2"/>
    <w:rsid w:val="002B183D"/>
    <w:rsid w:val="002B27DA"/>
    <w:rsid w:val="002B2B75"/>
    <w:rsid w:val="002B2D82"/>
    <w:rsid w:val="002B2E29"/>
    <w:rsid w:val="002B2FC8"/>
    <w:rsid w:val="002B400B"/>
    <w:rsid w:val="002B4295"/>
    <w:rsid w:val="002B457C"/>
    <w:rsid w:val="002B4F05"/>
    <w:rsid w:val="002B5056"/>
    <w:rsid w:val="002B60F4"/>
    <w:rsid w:val="002B6AFE"/>
    <w:rsid w:val="002B721F"/>
    <w:rsid w:val="002B746F"/>
    <w:rsid w:val="002B7F14"/>
    <w:rsid w:val="002C012B"/>
    <w:rsid w:val="002C02A3"/>
    <w:rsid w:val="002C0C83"/>
    <w:rsid w:val="002C1ECC"/>
    <w:rsid w:val="002C2832"/>
    <w:rsid w:val="002C29A0"/>
    <w:rsid w:val="002C32BD"/>
    <w:rsid w:val="002C32C3"/>
    <w:rsid w:val="002C35A8"/>
    <w:rsid w:val="002C3D98"/>
    <w:rsid w:val="002C4D54"/>
    <w:rsid w:val="002C4E55"/>
    <w:rsid w:val="002C50C7"/>
    <w:rsid w:val="002C666C"/>
    <w:rsid w:val="002C6BCD"/>
    <w:rsid w:val="002C7428"/>
    <w:rsid w:val="002D07A7"/>
    <w:rsid w:val="002D0B96"/>
    <w:rsid w:val="002D0F98"/>
    <w:rsid w:val="002D10DC"/>
    <w:rsid w:val="002D1BB4"/>
    <w:rsid w:val="002D1CB0"/>
    <w:rsid w:val="002D1D54"/>
    <w:rsid w:val="002D247A"/>
    <w:rsid w:val="002D2509"/>
    <w:rsid w:val="002D2C02"/>
    <w:rsid w:val="002D2CBE"/>
    <w:rsid w:val="002D3147"/>
    <w:rsid w:val="002D405B"/>
    <w:rsid w:val="002D42DA"/>
    <w:rsid w:val="002D4CB5"/>
    <w:rsid w:val="002D798B"/>
    <w:rsid w:val="002D7BC4"/>
    <w:rsid w:val="002E0887"/>
    <w:rsid w:val="002E0AA8"/>
    <w:rsid w:val="002E0DD0"/>
    <w:rsid w:val="002E1431"/>
    <w:rsid w:val="002E1766"/>
    <w:rsid w:val="002E1BC7"/>
    <w:rsid w:val="002E2566"/>
    <w:rsid w:val="002E28EE"/>
    <w:rsid w:val="002E290B"/>
    <w:rsid w:val="002E2DAE"/>
    <w:rsid w:val="002E3CF6"/>
    <w:rsid w:val="002E43C4"/>
    <w:rsid w:val="002E46B2"/>
    <w:rsid w:val="002E4DDE"/>
    <w:rsid w:val="002E5138"/>
    <w:rsid w:val="002E5521"/>
    <w:rsid w:val="002E559F"/>
    <w:rsid w:val="002E653A"/>
    <w:rsid w:val="002E6741"/>
    <w:rsid w:val="002E7074"/>
    <w:rsid w:val="002E758A"/>
    <w:rsid w:val="002F0C44"/>
    <w:rsid w:val="002F0DA4"/>
    <w:rsid w:val="002F0F30"/>
    <w:rsid w:val="002F1011"/>
    <w:rsid w:val="002F26FC"/>
    <w:rsid w:val="002F379F"/>
    <w:rsid w:val="002F3830"/>
    <w:rsid w:val="002F47A8"/>
    <w:rsid w:val="002F4F57"/>
    <w:rsid w:val="002F5AAA"/>
    <w:rsid w:val="002F5BB2"/>
    <w:rsid w:val="002F60AD"/>
    <w:rsid w:val="002F6555"/>
    <w:rsid w:val="002F6CAC"/>
    <w:rsid w:val="002F700C"/>
    <w:rsid w:val="002F731C"/>
    <w:rsid w:val="002F7805"/>
    <w:rsid w:val="002F7C53"/>
    <w:rsid w:val="00301A22"/>
    <w:rsid w:val="00301EEB"/>
    <w:rsid w:val="00301F23"/>
    <w:rsid w:val="0030233C"/>
    <w:rsid w:val="00302E3D"/>
    <w:rsid w:val="00303476"/>
    <w:rsid w:val="00303999"/>
    <w:rsid w:val="0030410E"/>
    <w:rsid w:val="0030537F"/>
    <w:rsid w:val="00305ABD"/>
    <w:rsid w:val="00306606"/>
    <w:rsid w:val="00307510"/>
    <w:rsid w:val="00310706"/>
    <w:rsid w:val="00310C16"/>
    <w:rsid w:val="003119AC"/>
    <w:rsid w:val="00311F17"/>
    <w:rsid w:val="00311FBC"/>
    <w:rsid w:val="00312D34"/>
    <w:rsid w:val="003136F2"/>
    <w:rsid w:val="0031404E"/>
    <w:rsid w:val="003140AB"/>
    <w:rsid w:val="00314FBC"/>
    <w:rsid w:val="003153DF"/>
    <w:rsid w:val="003155D3"/>
    <w:rsid w:val="0031563C"/>
    <w:rsid w:val="00315683"/>
    <w:rsid w:val="00315722"/>
    <w:rsid w:val="003159A6"/>
    <w:rsid w:val="00315B40"/>
    <w:rsid w:val="00315EFD"/>
    <w:rsid w:val="00316484"/>
    <w:rsid w:val="00316E8F"/>
    <w:rsid w:val="00317197"/>
    <w:rsid w:val="00317DAB"/>
    <w:rsid w:val="0032092B"/>
    <w:rsid w:val="0032115E"/>
    <w:rsid w:val="00324155"/>
    <w:rsid w:val="003246A6"/>
    <w:rsid w:val="00324B77"/>
    <w:rsid w:val="00324CFA"/>
    <w:rsid w:val="003253FF"/>
    <w:rsid w:val="00325508"/>
    <w:rsid w:val="003263D4"/>
    <w:rsid w:val="00326B2F"/>
    <w:rsid w:val="003301C6"/>
    <w:rsid w:val="0033075C"/>
    <w:rsid w:val="00330928"/>
    <w:rsid w:val="00330ABC"/>
    <w:rsid w:val="00331115"/>
    <w:rsid w:val="00331F2F"/>
    <w:rsid w:val="0033206E"/>
    <w:rsid w:val="00332765"/>
    <w:rsid w:val="00333281"/>
    <w:rsid w:val="00333C6D"/>
    <w:rsid w:val="00333CD4"/>
    <w:rsid w:val="003343B9"/>
    <w:rsid w:val="00334928"/>
    <w:rsid w:val="00334EE6"/>
    <w:rsid w:val="0033587B"/>
    <w:rsid w:val="00335AB4"/>
    <w:rsid w:val="00336A68"/>
    <w:rsid w:val="00337A20"/>
    <w:rsid w:val="00337B9F"/>
    <w:rsid w:val="00337CAA"/>
    <w:rsid w:val="00337EB5"/>
    <w:rsid w:val="003405E3"/>
    <w:rsid w:val="003407D9"/>
    <w:rsid w:val="003411F0"/>
    <w:rsid w:val="003412BC"/>
    <w:rsid w:val="003427CE"/>
    <w:rsid w:val="00342AD0"/>
    <w:rsid w:val="00342C96"/>
    <w:rsid w:val="003430EF"/>
    <w:rsid w:val="003441A4"/>
    <w:rsid w:val="003454F5"/>
    <w:rsid w:val="00345572"/>
    <w:rsid w:val="0034577D"/>
    <w:rsid w:val="00346434"/>
    <w:rsid w:val="003464A3"/>
    <w:rsid w:val="0034761F"/>
    <w:rsid w:val="0034792B"/>
    <w:rsid w:val="00347B3C"/>
    <w:rsid w:val="00350885"/>
    <w:rsid w:val="00351AD6"/>
    <w:rsid w:val="00352237"/>
    <w:rsid w:val="00352246"/>
    <w:rsid w:val="0035355A"/>
    <w:rsid w:val="0035372E"/>
    <w:rsid w:val="00354503"/>
    <w:rsid w:val="00354621"/>
    <w:rsid w:val="00354F40"/>
    <w:rsid w:val="0035518B"/>
    <w:rsid w:val="003555E2"/>
    <w:rsid w:val="00355E91"/>
    <w:rsid w:val="00356D04"/>
    <w:rsid w:val="00357261"/>
    <w:rsid w:val="003573F7"/>
    <w:rsid w:val="00357447"/>
    <w:rsid w:val="00357639"/>
    <w:rsid w:val="003603E1"/>
    <w:rsid w:val="00361E5A"/>
    <w:rsid w:val="00361F5F"/>
    <w:rsid w:val="00362B7C"/>
    <w:rsid w:val="00362F24"/>
    <w:rsid w:val="00363396"/>
    <w:rsid w:val="003644E2"/>
    <w:rsid w:val="00364E4D"/>
    <w:rsid w:val="0036537B"/>
    <w:rsid w:val="00366204"/>
    <w:rsid w:val="00366B3F"/>
    <w:rsid w:val="0037113E"/>
    <w:rsid w:val="00371149"/>
    <w:rsid w:val="00371433"/>
    <w:rsid w:val="003717CA"/>
    <w:rsid w:val="00371B9D"/>
    <w:rsid w:val="00371E52"/>
    <w:rsid w:val="00373D96"/>
    <w:rsid w:val="00374E97"/>
    <w:rsid w:val="0037552E"/>
    <w:rsid w:val="00375655"/>
    <w:rsid w:val="0037599A"/>
    <w:rsid w:val="00375A2C"/>
    <w:rsid w:val="00375BE5"/>
    <w:rsid w:val="00376305"/>
    <w:rsid w:val="00376A0A"/>
    <w:rsid w:val="00376F94"/>
    <w:rsid w:val="00377148"/>
    <w:rsid w:val="00377432"/>
    <w:rsid w:val="003777E9"/>
    <w:rsid w:val="00380906"/>
    <w:rsid w:val="00380E90"/>
    <w:rsid w:val="00381F4F"/>
    <w:rsid w:val="00382362"/>
    <w:rsid w:val="003823F6"/>
    <w:rsid w:val="003828C7"/>
    <w:rsid w:val="00382978"/>
    <w:rsid w:val="00382E80"/>
    <w:rsid w:val="00382EE1"/>
    <w:rsid w:val="00382EEF"/>
    <w:rsid w:val="003830B0"/>
    <w:rsid w:val="003835DC"/>
    <w:rsid w:val="0038440D"/>
    <w:rsid w:val="00385B53"/>
    <w:rsid w:val="00386863"/>
    <w:rsid w:val="00386DD6"/>
    <w:rsid w:val="0038729A"/>
    <w:rsid w:val="00387304"/>
    <w:rsid w:val="00391636"/>
    <w:rsid w:val="00391D0C"/>
    <w:rsid w:val="00392034"/>
    <w:rsid w:val="00392109"/>
    <w:rsid w:val="00392FB1"/>
    <w:rsid w:val="00393166"/>
    <w:rsid w:val="003932A7"/>
    <w:rsid w:val="0039372F"/>
    <w:rsid w:val="00393856"/>
    <w:rsid w:val="00394042"/>
    <w:rsid w:val="003944D7"/>
    <w:rsid w:val="00394763"/>
    <w:rsid w:val="00396F48"/>
    <w:rsid w:val="003971B5"/>
    <w:rsid w:val="00397545"/>
    <w:rsid w:val="00397757"/>
    <w:rsid w:val="003A0650"/>
    <w:rsid w:val="003A0E29"/>
    <w:rsid w:val="003A10A2"/>
    <w:rsid w:val="003A1595"/>
    <w:rsid w:val="003A1E6E"/>
    <w:rsid w:val="003A1EF7"/>
    <w:rsid w:val="003A23F3"/>
    <w:rsid w:val="003A2583"/>
    <w:rsid w:val="003A2B40"/>
    <w:rsid w:val="003A344F"/>
    <w:rsid w:val="003A46CB"/>
    <w:rsid w:val="003A478F"/>
    <w:rsid w:val="003A4989"/>
    <w:rsid w:val="003A5EBC"/>
    <w:rsid w:val="003A61C0"/>
    <w:rsid w:val="003A6448"/>
    <w:rsid w:val="003A6628"/>
    <w:rsid w:val="003A665C"/>
    <w:rsid w:val="003A673F"/>
    <w:rsid w:val="003A6ACA"/>
    <w:rsid w:val="003B0C03"/>
    <w:rsid w:val="003B1356"/>
    <w:rsid w:val="003B14C8"/>
    <w:rsid w:val="003B19E9"/>
    <w:rsid w:val="003B2B4B"/>
    <w:rsid w:val="003B2B87"/>
    <w:rsid w:val="003B2F97"/>
    <w:rsid w:val="003B39D6"/>
    <w:rsid w:val="003B3EE8"/>
    <w:rsid w:val="003B4925"/>
    <w:rsid w:val="003B4AAB"/>
    <w:rsid w:val="003B5241"/>
    <w:rsid w:val="003B5917"/>
    <w:rsid w:val="003B5983"/>
    <w:rsid w:val="003B5D0B"/>
    <w:rsid w:val="003B6A39"/>
    <w:rsid w:val="003C0710"/>
    <w:rsid w:val="003C1665"/>
    <w:rsid w:val="003C166F"/>
    <w:rsid w:val="003C1966"/>
    <w:rsid w:val="003C1DB8"/>
    <w:rsid w:val="003C1DF2"/>
    <w:rsid w:val="003C278B"/>
    <w:rsid w:val="003C2961"/>
    <w:rsid w:val="003C37FB"/>
    <w:rsid w:val="003C386D"/>
    <w:rsid w:val="003C3EE5"/>
    <w:rsid w:val="003C3FF0"/>
    <w:rsid w:val="003C4061"/>
    <w:rsid w:val="003C41F4"/>
    <w:rsid w:val="003C48CB"/>
    <w:rsid w:val="003C531E"/>
    <w:rsid w:val="003C5756"/>
    <w:rsid w:val="003C6215"/>
    <w:rsid w:val="003C786C"/>
    <w:rsid w:val="003D107B"/>
    <w:rsid w:val="003D1C02"/>
    <w:rsid w:val="003D2190"/>
    <w:rsid w:val="003D2351"/>
    <w:rsid w:val="003D2997"/>
    <w:rsid w:val="003D2FB7"/>
    <w:rsid w:val="003D4727"/>
    <w:rsid w:val="003D4C84"/>
    <w:rsid w:val="003D5550"/>
    <w:rsid w:val="003D5D3D"/>
    <w:rsid w:val="003D5DCE"/>
    <w:rsid w:val="003D6EDF"/>
    <w:rsid w:val="003D72A6"/>
    <w:rsid w:val="003D7493"/>
    <w:rsid w:val="003D7FE0"/>
    <w:rsid w:val="003E0677"/>
    <w:rsid w:val="003E0EF5"/>
    <w:rsid w:val="003E11C7"/>
    <w:rsid w:val="003E1228"/>
    <w:rsid w:val="003E1A60"/>
    <w:rsid w:val="003E28FA"/>
    <w:rsid w:val="003E29AB"/>
    <w:rsid w:val="003E3106"/>
    <w:rsid w:val="003E3B1F"/>
    <w:rsid w:val="003E4C6E"/>
    <w:rsid w:val="003E52CB"/>
    <w:rsid w:val="003E576C"/>
    <w:rsid w:val="003E63FF"/>
    <w:rsid w:val="003E66D5"/>
    <w:rsid w:val="003E6844"/>
    <w:rsid w:val="003E6AF6"/>
    <w:rsid w:val="003E6B82"/>
    <w:rsid w:val="003E789B"/>
    <w:rsid w:val="003F0E3D"/>
    <w:rsid w:val="003F129D"/>
    <w:rsid w:val="003F1418"/>
    <w:rsid w:val="003F17C2"/>
    <w:rsid w:val="003F1DA3"/>
    <w:rsid w:val="003F20AA"/>
    <w:rsid w:val="003F22D3"/>
    <w:rsid w:val="003F2728"/>
    <w:rsid w:val="003F2A83"/>
    <w:rsid w:val="003F3190"/>
    <w:rsid w:val="003F3460"/>
    <w:rsid w:val="003F3C2F"/>
    <w:rsid w:val="003F41D8"/>
    <w:rsid w:val="003F5DD4"/>
    <w:rsid w:val="003F70A8"/>
    <w:rsid w:val="003F713D"/>
    <w:rsid w:val="003F717A"/>
    <w:rsid w:val="003F7770"/>
    <w:rsid w:val="003F7E28"/>
    <w:rsid w:val="004002BE"/>
    <w:rsid w:val="0040043F"/>
    <w:rsid w:val="004006E8"/>
    <w:rsid w:val="004009F5"/>
    <w:rsid w:val="00401375"/>
    <w:rsid w:val="0040142A"/>
    <w:rsid w:val="0040147A"/>
    <w:rsid w:val="00401DDB"/>
    <w:rsid w:val="00402493"/>
    <w:rsid w:val="0040276B"/>
    <w:rsid w:val="0040346A"/>
    <w:rsid w:val="00404098"/>
    <w:rsid w:val="004046CF"/>
    <w:rsid w:val="004047D5"/>
    <w:rsid w:val="0040494A"/>
    <w:rsid w:val="00404F93"/>
    <w:rsid w:val="00405E74"/>
    <w:rsid w:val="00406F8C"/>
    <w:rsid w:val="00407779"/>
    <w:rsid w:val="00410452"/>
    <w:rsid w:val="00411372"/>
    <w:rsid w:val="00411C84"/>
    <w:rsid w:val="004121FF"/>
    <w:rsid w:val="0041259C"/>
    <w:rsid w:val="004129DE"/>
    <w:rsid w:val="00412ECF"/>
    <w:rsid w:val="0041316D"/>
    <w:rsid w:val="004135A9"/>
    <w:rsid w:val="00413C69"/>
    <w:rsid w:val="00413F08"/>
    <w:rsid w:val="00414019"/>
    <w:rsid w:val="00415C2D"/>
    <w:rsid w:val="00415C41"/>
    <w:rsid w:val="004166E8"/>
    <w:rsid w:val="004166F1"/>
    <w:rsid w:val="00416BCE"/>
    <w:rsid w:val="00417354"/>
    <w:rsid w:val="0041781B"/>
    <w:rsid w:val="00417837"/>
    <w:rsid w:val="00417D4E"/>
    <w:rsid w:val="004200DE"/>
    <w:rsid w:val="00420229"/>
    <w:rsid w:val="0042030F"/>
    <w:rsid w:val="0042049D"/>
    <w:rsid w:val="004204BB"/>
    <w:rsid w:val="00420864"/>
    <w:rsid w:val="00420FAE"/>
    <w:rsid w:val="004214B5"/>
    <w:rsid w:val="00422355"/>
    <w:rsid w:val="00422ED7"/>
    <w:rsid w:val="00423FBA"/>
    <w:rsid w:val="00424073"/>
    <w:rsid w:val="00424247"/>
    <w:rsid w:val="00424C3F"/>
    <w:rsid w:val="00425831"/>
    <w:rsid w:val="00425B10"/>
    <w:rsid w:val="00425D85"/>
    <w:rsid w:val="00425E3A"/>
    <w:rsid w:val="00426025"/>
    <w:rsid w:val="004261E6"/>
    <w:rsid w:val="00426529"/>
    <w:rsid w:val="00426B6E"/>
    <w:rsid w:val="00427C8A"/>
    <w:rsid w:val="00430009"/>
    <w:rsid w:val="004302D5"/>
    <w:rsid w:val="00430436"/>
    <w:rsid w:val="00430C35"/>
    <w:rsid w:val="004310B1"/>
    <w:rsid w:val="00431567"/>
    <w:rsid w:val="004316CA"/>
    <w:rsid w:val="00431797"/>
    <w:rsid w:val="00431DC5"/>
    <w:rsid w:val="00432997"/>
    <w:rsid w:val="00433AE5"/>
    <w:rsid w:val="00433BB8"/>
    <w:rsid w:val="00434439"/>
    <w:rsid w:val="0043455F"/>
    <w:rsid w:val="004347C5"/>
    <w:rsid w:val="00435F1B"/>
    <w:rsid w:val="004361ED"/>
    <w:rsid w:val="004364E2"/>
    <w:rsid w:val="00436DD8"/>
    <w:rsid w:val="00437317"/>
    <w:rsid w:val="00437394"/>
    <w:rsid w:val="004376AD"/>
    <w:rsid w:val="004378EF"/>
    <w:rsid w:val="00437D65"/>
    <w:rsid w:val="0044076A"/>
    <w:rsid w:val="00440A58"/>
    <w:rsid w:val="0044123C"/>
    <w:rsid w:val="00441860"/>
    <w:rsid w:val="00442390"/>
    <w:rsid w:val="004427B6"/>
    <w:rsid w:val="0044311A"/>
    <w:rsid w:val="004433F9"/>
    <w:rsid w:val="00443705"/>
    <w:rsid w:val="00443EC7"/>
    <w:rsid w:val="00443EF8"/>
    <w:rsid w:val="00444D77"/>
    <w:rsid w:val="00446449"/>
    <w:rsid w:val="00446994"/>
    <w:rsid w:val="00446DBD"/>
    <w:rsid w:val="004477AB"/>
    <w:rsid w:val="00450D4F"/>
    <w:rsid w:val="00450DC0"/>
    <w:rsid w:val="0045140B"/>
    <w:rsid w:val="00451541"/>
    <w:rsid w:val="00452449"/>
    <w:rsid w:val="00452F46"/>
    <w:rsid w:val="00454C09"/>
    <w:rsid w:val="0045506D"/>
    <w:rsid w:val="00455788"/>
    <w:rsid w:val="00456396"/>
    <w:rsid w:val="00457CCC"/>
    <w:rsid w:val="004605EC"/>
    <w:rsid w:val="0046062C"/>
    <w:rsid w:val="00461B36"/>
    <w:rsid w:val="00461C18"/>
    <w:rsid w:val="00461DE9"/>
    <w:rsid w:val="004622DD"/>
    <w:rsid w:val="00462A3E"/>
    <w:rsid w:val="00462C2F"/>
    <w:rsid w:val="004637EA"/>
    <w:rsid w:val="0046427B"/>
    <w:rsid w:val="004643EE"/>
    <w:rsid w:val="004647D3"/>
    <w:rsid w:val="004648C0"/>
    <w:rsid w:val="00465B7C"/>
    <w:rsid w:val="00465D7F"/>
    <w:rsid w:val="00465D87"/>
    <w:rsid w:val="00466A4D"/>
    <w:rsid w:val="00467017"/>
    <w:rsid w:val="004674C3"/>
    <w:rsid w:val="0046776B"/>
    <w:rsid w:val="00467B74"/>
    <w:rsid w:val="00471258"/>
    <w:rsid w:val="00471312"/>
    <w:rsid w:val="00471D79"/>
    <w:rsid w:val="0047258E"/>
    <w:rsid w:val="00472823"/>
    <w:rsid w:val="00472EA0"/>
    <w:rsid w:val="004731B0"/>
    <w:rsid w:val="004741A7"/>
    <w:rsid w:val="00474E3B"/>
    <w:rsid w:val="00475376"/>
    <w:rsid w:val="0047580D"/>
    <w:rsid w:val="00475B01"/>
    <w:rsid w:val="0047627D"/>
    <w:rsid w:val="004766F3"/>
    <w:rsid w:val="0047769F"/>
    <w:rsid w:val="004805FB"/>
    <w:rsid w:val="00482616"/>
    <w:rsid w:val="004827CC"/>
    <w:rsid w:val="00482A19"/>
    <w:rsid w:val="00482AAF"/>
    <w:rsid w:val="00483417"/>
    <w:rsid w:val="004835E7"/>
    <w:rsid w:val="00483CA9"/>
    <w:rsid w:val="004840C2"/>
    <w:rsid w:val="00484E80"/>
    <w:rsid w:val="00485124"/>
    <w:rsid w:val="0048662F"/>
    <w:rsid w:val="00486A30"/>
    <w:rsid w:val="004872F7"/>
    <w:rsid w:val="004873BA"/>
    <w:rsid w:val="0049041E"/>
    <w:rsid w:val="004904F0"/>
    <w:rsid w:val="00490CCC"/>
    <w:rsid w:val="00490D24"/>
    <w:rsid w:val="00490F0F"/>
    <w:rsid w:val="0049174D"/>
    <w:rsid w:val="004917E7"/>
    <w:rsid w:val="0049193E"/>
    <w:rsid w:val="00491B1A"/>
    <w:rsid w:val="00492E1A"/>
    <w:rsid w:val="004932F2"/>
    <w:rsid w:val="00493A28"/>
    <w:rsid w:val="00493E46"/>
    <w:rsid w:val="00493EFB"/>
    <w:rsid w:val="00494493"/>
    <w:rsid w:val="004948A5"/>
    <w:rsid w:val="00494958"/>
    <w:rsid w:val="00494D27"/>
    <w:rsid w:val="00495135"/>
    <w:rsid w:val="00495C6D"/>
    <w:rsid w:val="004965C7"/>
    <w:rsid w:val="00496BF7"/>
    <w:rsid w:val="00496DC7"/>
    <w:rsid w:val="00497641"/>
    <w:rsid w:val="004A02A8"/>
    <w:rsid w:val="004A0D4A"/>
    <w:rsid w:val="004A0F37"/>
    <w:rsid w:val="004A191B"/>
    <w:rsid w:val="004A20CC"/>
    <w:rsid w:val="004A2482"/>
    <w:rsid w:val="004A2AC0"/>
    <w:rsid w:val="004A2BE7"/>
    <w:rsid w:val="004A2C23"/>
    <w:rsid w:val="004A3A91"/>
    <w:rsid w:val="004A3BEE"/>
    <w:rsid w:val="004A471E"/>
    <w:rsid w:val="004A5617"/>
    <w:rsid w:val="004A598A"/>
    <w:rsid w:val="004A59B4"/>
    <w:rsid w:val="004A6FA1"/>
    <w:rsid w:val="004A7417"/>
    <w:rsid w:val="004A7893"/>
    <w:rsid w:val="004A7B7D"/>
    <w:rsid w:val="004B05E1"/>
    <w:rsid w:val="004B095C"/>
    <w:rsid w:val="004B0CE2"/>
    <w:rsid w:val="004B11F4"/>
    <w:rsid w:val="004B17F2"/>
    <w:rsid w:val="004B1C75"/>
    <w:rsid w:val="004B2DAE"/>
    <w:rsid w:val="004B2E73"/>
    <w:rsid w:val="004B34B4"/>
    <w:rsid w:val="004B38F8"/>
    <w:rsid w:val="004B4041"/>
    <w:rsid w:val="004B55FB"/>
    <w:rsid w:val="004B6B22"/>
    <w:rsid w:val="004B6B27"/>
    <w:rsid w:val="004B7047"/>
    <w:rsid w:val="004B7073"/>
    <w:rsid w:val="004B747B"/>
    <w:rsid w:val="004B7796"/>
    <w:rsid w:val="004C0147"/>
    <w:rsid w:val="004C079A"/>
    <w:rsid w:val="004C16EF"/>
    <w:rsid w:val="004C2349"/>
    <w:rsid w:val="004C2696"/>
    <w:rsid w:val="004C3B89"/>
    <w:rsid w:val="004C4445"/>
    <w:rsid w:val="004C4D46"/>
    <w:rsid w:val="004C508D"/>
    <w:rsid w:val="004C5217"/>
    <w:rsid w:val="004C5A25"/>
    <w:rsid w:val="004C64B0"/>
    <w:rsid w:val="004C66BC"/>
    <w:rsid w:val="004C6E4A"/>
    <w:rsid w:val="004C70BC"/>
    <w:rsid w:val="004C75F7"/>
    <w:rsid w:val="004D0130"/>
    <w:rsid w:val="004D05FA"/>
    <w:rsid w:val="004D0728"/>
    <w:rsid w:val="004D0C6C"/>
    <w:rsid w:val="004D0EA0"/>
    <w:rsid w:val="004D1036"/>
    <w:rsid w:val="004D1043"/>
    <w:rsid w:val="004D17AE"/>
    <w:rsid w:val="004D2F68"/>
    <w:rsid w:val="004D5449"/>
    <w:rsid w:val="004D599D"/>
    <w:rsid w:val="004D5D99"/>
    <w:rsid w:val="004D6739"/>
    <w:rsid w:val="004D6971"/>
    <w:rsid w:val="004D6B75"/>
    <w:rsid w:val="004D722B"/>
    <w:rsid w:val="004D72B9"/>
    <w:rsid w:val="004D74ED"/>
    <w:rsid w:val="004D774B"/>
    <w:rsid w:val="004D77A0"/>
    <w:rsid w:val="004D7E07"/>
    <w:rsid w:val="004E0090"/>
    <w:rsid w:val="004E0112"/>
    <w:rsid w:val="004E0AB8"/>
    <w:rsid w:val="004E0D00"/>
    <w:rsid w:val="004E1667"/>
    <w:rsid w:val="004E1999"/>
    <w:rsid w:val="004E20A7"/>
    <w:rsid w:val="004E2B03"/>
    <w:rsid w:val="004E3072"/>
    <w:rsid w:val="004E346C"/>
    <w:rsid w:val="004E38E5"/>
    <w:rsid w:val="004E3925"/>
    <w:rsid w:val="004E4E3D"/>
    <w:rsid w:val="004E575A"/>
    <w:rsid w:val="004E5907"/>
    <w:rsid w:val="004E5A24"/>
    <w:rsid w:val="004E6860"/>
    <w:rsid w:val="004E6A91"/>
    <w:rsid w:val="004E6C11"/>
    <w:rsid w:val="004E71EE"/>
    <w:rsid w:val="004F0026"/>
    <w:rsid w:val="004F0614"/>
    <w:rsid w:val="004F0720"/>
    <w:rsid w:val="004F107C"/>
    <w:rsid w:val="004F194D"/>
    <w:rsid w:val="004F2135"/>
    <w:rsid w:val="004F21B6"/>
    <w:rsid w:val="004F25BA"/>
    <w:rsid w:val="004F2910"/>
    <w:rsid w:val="004F2F2D"/>
    <w:rsid w:val="004F305D"/>
    <w:rsid w:val="004F34A2"/>
    <w:rsid w:val="004F360F"/>
    <w:rsid w:val="004F3BC7"/>
    <w:rsid w:val="004F3C2B"/>
    <w:rsid w:val="004F3D68"/>
    <w:rsid w:val="004F3EA3"/>
    <w:rsid w:val="004F48E4"/>
    <w:rsid w:val="004F4946"/>
    <w:rsid w:val="004F5782"/>
    <w:rsid w:val="004F5828"/>
    <w:rsid w:val="004F588F"/>
    <w:rsid w:val="004F5C9D"/>
    <w:rsid w:val="004F6891"/>
    <w:rsid w:val="004F68C3"/>
    <w:rsid w:val="004F6EB3"/>
    <w:rsid w:val="004F741F"/>
    <w:rsid w:val="00500604"/>
    <w:rsid w:val="00500C7E"/>
    <w:rsid w:val="00501687"/>
    <w:rsid w:val="00501C5D"/>
    <w:rsid w:val="00501C78"/>
    <w:rsid w:val="005024ED"/>
    <w:rsid w:val="00502717"/>
    <w:rsid w:val="00503230"/>
    <w:rsid w:val="0050396E"/>
    <w:rsid w:val="00503AD7"/>
    <w:rsid w:val="00503E7A"/>
    <w:rsid w:val="0050411F"/>
    <w:rsid w:val="00504436"/>
    <w:rsid w:val="00504E66"/>
    <w:rsid w:val="0050549E"/>
    <w:rsid w:val="00505FCB"/>
    <w:rsid w:val="00506C66"/>
    <w:rsid w:val="00506F1D"/>
    <w:rsid w:val="005074C6"/>
    <w:rsid w:val="0050753C"/>
    <w:rsid w:val="00507608"/>
    <w:rsid w:val="00507C28"/>
    <w:rsid w:val="005105D0"/>
    <w:rsid w:val="0051164B"/>
    <w:rsid w:val="0051173A"/>
    <w:rsid w:val="005120E3"/>
    <w:rsid w:val="005125BE"/>
    <w:rsid w:val="00512A21"/>
    <w:rsid w:val="00513B2C"/>
    <w:rsid w:val="00514266"/>
    <w:rsid w:val="005144E8"/>
    <w:rsid w:val="00514515"/>
    <w:rsid w:val="00515D83"/>
    <w:rsid w:val="00516E3E"/>
    <w:rsid w:val="00517304"/>
    <w:rsid w:val="00517341"/>
    <w:rsid w:val="00517A79"/>
    <w:rsid w:val="00517F1A"/>
    <w:rsid w:val="00520EC8"/>
    <w:rsid w:val="0052150A"/>
    <w:rsid w:val="005215EB"/>
    <w:rsid w:val="00521A38"/>
    <w:rsid w:val="00521E1B"/>
    <w:rsid w:val="005222F9"/>
    <w:rsid w:val="00522329"/>
    <w:rsid w:val="00522A0A"/>
    <w:rsid w:val="00523749"/>
    <w:rsid w:val="005244D5"/>
    <w:rsid w:val="00526A4E"/>
    <w:rsid w:val="00527C61"/>
    <w:rsid w:val="00527D33"/>
    <w:rsid w:val="00527ED5"/>
    <w:rsid w:val="00530192"/>
    <w:rsid w:val="005302CE"/>
    <w:rsid w:val="005309D0"/>
    <w:rsid w:val="005314F7"/>
    <w:rsid w:val="005322BD"/>
    <w:rsid w:val="005324AC"/>
    <w:rsid w:val="005328F2"/>
    <w:rsid w:val="005329D3"/>
    <w:rsid w:val="005330AD"/>
    <w:rsid w:val="00533182"/>
    <w:rsid w:val="00535030"/>
    <w:rsid w:val="005351E4"/>
    <w:rsid w:val="00535325"/>
    <w:rsid w:val="00535AA2"/>
    <w:rsid w:val="00535F43"/>
    <w:rsid w:val="005361AE"/>
    <w:rsid w:val="005363AC"/>
    <w:rsid w:val="005365E6"/>
    <w:rsid w:val="00536EFC"/>
    <w:rsid w:val="005373C1"/>
    <w:rsid w:val="005401E7"/>
    <w:rsid w:val="0054082B"/>
    <w:rsid w:val="00540975"/>
    <w:rsid w:val="00540F7F"/>
    <w:rsid w:val="00541F85"/>
    <w:rsid w:val="0054270D"/>
    <w:rsid w:val="0054328F"/>
    <w:rsid w:val="005432F0"/>
    <w:rsid w:val="005434CB"/>
    <w:rsid w:val="005436A1"/>
    <w:rsid w:val="005436AB"/>
    <w:rsid w:val="0054412C"/>
    <w:rsid w:val="00544709"/>
    <w:rsid w:val="00544A60"/>
    <w:rsid w:val="00545F2A"/>
    <w:rsid w:val="00546B2E"/>
    <w:rsid w:val="00546E9C"/>
    <w:rsid w:val="00547253"/>
    <w:rsid w:val="005472FB"/>
    <w:rsid w:val="00547508"/>
    <w:rsid w:val="005479A5"/>
    <w:rsid w:val="00551136"/>
    <w:rsid w:val="00551965"/>
    <w:rsid w:val="00551A1D"/>
    <w:rsid w:val="00551B58"/>
    <w:rsid w:val="00552098"/>
    <w:rsid w:val="005522F2"/>
    <w:rsid w:val="00552588"/>
    <w:rsid w:val="005525E2"/>
    <w:rsid w:val="00552DC6"/>
    <w:rsid w:val="0055304F"/>
    <w:rsid w:val="005540DB"/>
    <w:rsid w:val="0055456E"/>
    <w:rsid w:val="00554A1A"/>
    <w:rsid w:val="00554AD0"/>
    <w:rsid w:val="00554C78"/>
    <w:rsid w:val="00555353"/>
    <w:rsid w:val="005553D6"/>
    <w:rsid w:val="0055577B"/>
    <w:rsid w:val="00555C60"/>
    <w:rsid w:val="00555D08"/>
    <w:rsid w:val="005565B1"/>
    <w:rsid w:val="00556D38"/>
    <w:rsid w:val="00557564"/>
    <w:rsid w:val="005576C9"/>
    <w:rsid w:val="00557B66"/>
    <w:rsid w:val="00560CD2"/>
    <w:rsid w:val="00560F6F"/>
    <w:rsid w:val="0056124E"/>
    <w:rsid w:val="005612FA"/>
    <w:rsid w:val="0056217A"/>
    <w:rsid w:val="005628B2"/>
    <w:rsid w:val="00562B7C"/>
    <w:rsid w:val="005630A8"/>
    <w:rsid w:val="005631B8"/>
    <w:rsid w:val="0056389A"/>
    <w:rsid w:val="00564C6A"/>
    <w:rsid w:val="00565DC7"/>
    <w:rsid w:val="00566541"/>
    <w:rsid w:val="0056654F"/>
    <w:rsid w:val="00566AEE"/>
    <w:rsid w:val="00567156"/>
    <w:rsid w:val="005676E7"/>
    <w:rsid w:val="00570085"/>
    <w:rsid w:val="00570450"/>
    <w:rsid w:val="00570C35"/>
    <w:rsid w:val="0057116F"/>
    <w:rsid w:val="0057121A"/>
    <w:rsid w:val="0057145F"/>
    <w:rsid w:val="005716E3"/>
    <w:rsid w:val="0057225C"/>
    <w:rsid w:val="005725F6"/>
    <w:rsid w:val="00572A04"/>
    <w:rsid w:val="005735FC"/>
    <w:rsid w:val="005738F7"/>
    <w:rsid w:val="005751A6"/>
    <w:rsid w:val="00575E14"/>
    <w:rsid w:val="0057776C"/>
    <w:rsid w:val="00580972"/>
    <w:rsid w:val="00580DD7"/>
    <w:rsid w:val="00580EA9"/>
    <w:rsid w:val="005816CC"/>
    <w:rsid w:val="00582571"/>
    <w:rsid w:val="00582715"/>
    <w:rsid w:val="00582723"/>
    <w:rsid w:val="005828EC"/>
    <w:rsid w:val="00582BEB"/>
    <w:rsid w:val="00582DDF"/>
    <w:rsid w:val="00583284"/>
    <w:rsid w:val="00583655"/>
    <w:rsid w:val="005838ED"/>
    <w:rsid w:val="00583F2F"/>
    <w:rsid w:val="00584AAA"/>
    <w:rsid w:val="00585700"/>
    <w:rsid w:val="0058604E"/>
    <w:rsid w:val="00586B10"/>
    <w:rsid w:val="00586DFF"/>
    <w:rsid w:val="0058732D"/>
    <w:rsid w:val="00587432"/>
    <w:rsid w:val="00587938"/>
    <w:rsid w:val="00587A54"/>
    <w:rsid w:val="00587D8E"/>
    <w:rsid w:val="00590761"/>
    <w:rsid w:val="00590AEB"/>
    <w:rsid w:val="005910D6"/>
    <w:rsid w:val="005918D8"/>
    <w:rsid w:val="00591B9D"/>
    <w:rsid w:val="00593925"/>
    <w:rsid w:val="005939D1"/>
    <w:rsid w:val="0059417A"/>
    <w:rsid w:val="00594C6B"/>
    <w:rsid w:val="005951B9"/>
    <w:rsid w:val="00595F75"/>
    <w:rsid w:val="00596956"/>
    <w:rsid w:val="00596CD3"/>
    <w:rsid w:val="00597561"/>
    <w:rsid w:val="00597FC9"/>
    <w:rsid w:val="005A0894"/>
    <w:rsid w:val="005A0E83"/>
    <w:rsid w:val="005A0F2A"/>
    <w:rsid w:val="005A0F68"/>
    <w:rsid w:val="005A10B2"/>
    <w:rsid w:val="005A1CA5"/>
    <w:rsid w:val="005A1E5C"/>
    <w:rsid w:val="005A202D"/>
    <w:rsid w:val="005A223A"/>
    <w:rsid w:val="005A247B"/>
    <w:rsid w:val="005A2966"/>
    <w:rsid w:val="005A2A50"/>
    <w:rsid w:val="005A4378"/>
    <w:rsid w:val="005A47B4"/>
    <w:rsid w:val="005A4A66"/>
    <w:rsid w:val="005A4D10"/>
    <w:rsid w:val="005A52A6"/>
    <w:rsid w:val="005A5584"/>
    <w:rsid w:val="005A5BB2"/>
    <w:rsid w:val="005A5C6A"/>
    <w:rsid w:val="005A60F1"/>
    <w:rsid w:val="005A61AC"/>
    <w:rsid w:val="005A6C24"/>
    <w:rsid w:val="005A6FFF"/>
    <w:rsid w:val="005A7117"/>
    <w:rsid w:val="005A75DF"/>
    <w:rsid w:val="005A785A"/>
    <w:rsid w:val="005A790C"/>
    <w:rsid w:val="005A79E9"/>
    <w:rsid w:val="005A7D09"/>
    <w:rsid w:val="005B0A4B"/>
    <w:rsid w:val="005B1F69"/>
    <w:rsid w:val="005B212F"/>
    <w:rsid w:val="005B2272"/>
    <w:rsid w:val="005B3076"/>
    <w:rsid w:val="005B3244"/>
    <w:rsid w:val="005B3288"/>
    <w:rsid w:val="005B405C"/>
    <w:rsid w:val="005B50AD"/>
    <w:rsid w:val="005B6782"/>
    <w:rsid w:val="005B6919"/>
    <w:rsid w:val="005B6CCB"/>
    <w:rsid w:val="005B7264"/>
    <w:rsid w:val="005B7963"/>
    <w:rsid w:val="005C01FC"/>
    <w:rsid w:val="005C0369"/>
    <w:rsid w:val="005C04CC"/>
    <w:rsid w:val="005C053C"/>
    <w:rsid w:val="005C0E0A"/>
    <w:rsid w:val="005C0E44"/>
    <w:rsid w:val="005C1569"/>
    <w:rsid w:val="005C1AF4"/>
    <w:rsid w:val="005C2529"/>
    <w:rsid w:val="005C293E"/>
    <w:rsid w:val="005C2EB5"/>
    <w:rsid w:val="005C3708"/>
    <w:rsid w:val="005C393F"/>
    <w:rsid w:val="005C3C34"/>
    <w:rsid w:val="005C5012"/>
    <w:rsid w:val="005C51EE"/>
    <w:rsid w:val="005C5774"/>
    <w:rsid w:val="005C5B8F"/>
    <w:rsid w:val="005C5C23"/>
    <w:rsid w:val="005C6568"/>
    <w:rsid w:val="005C7749"/>
    <w:rsid w:val="005C795D"/>
    <w:rsid w:val="005D003B"/>
    <w:rsid w:val="005D05EB"/>
    <w:rsid w:val="005D137E"/>
    <w:rsid w:val="005D1B20"/>
    <w:rsid w:val="005D1CEA"/>
    <w:rsid w:val="005D2410"/>
    <w:rsid w:val="005D2796"/>
    <w:rsid w:val="005D2C92"/>
    <w:rsid w:val="005D2DCC"/>
    <w:rsid w:val="005D3C4F"/>
    <w:rsid w:val="005D3DFC"/>
    <w:rsid w:val="005D405A"/>
    <w:rsid w:val="005D54C2"/>
    <w:rsid w:val="005D5ADA"/>
    <w:rsid w:val="005D5B90"/>
    <w:rsid w:val="005E0823"/>
    <w:rsid w:val="005E0EA9"/>
    <w:rsid w:val="005E0F2E"/>
    <w:rsid w:val="005E1952"/>
    <w:rsid w:val="005E1A3B"/>
    <w:rsid w:val="005E284B"/>
    <w:rsid w:val="005E2A60"/>
    <w:rsid w:val="005E38B6"/>
    <w:rsid w:val="005E38DD"/>
    <w:rsid w:val="005E3CF9"/>
    <w:rsid w:val="005E3FB4"/>
    <w:rsid w:val="005E4E49"/>
    <w:rsid w:val="005E50A4"/>
    <w:rsid w:val="005E521B"/>
    <w:rsid w:val="005E57B2"/>
    <w:rsid w:val="005E615B"/>
    <w:rsid w:val="005E61BD"/>
    <w:rsid w:val="005E6CC6"/>
    <w:rsid w:val="005E715B"/>
    <w:rsid w:val="005E7405"/>
    <w:rsid w:val="005F01E3"/>
    <w:rsid w:val="005F0283"/>
    <w:rsid w:val="005F05BB"/>
    <w:rsid w:val="005F05E1"/>
    <w:rsid w:val="005F079D"/>
    <w:rsid w:val="005F0DAF"/>
    <w:rsid w:val="005F1608"/>
    <w:rsid w:val="005F16BA"/>
    <w:rsid w:val="005F2317"/>
    <w:rsid w:val="005F2358"/>
    <w:rsid w:val="005F277C"/>
    <w:rsid w:val="005F3AF3"/>
    <w:rsid w:val="005F4A1A"/>
    <w:rsid w:val="005F50D0"/>
    <w:rsid w:val="005F57F5"/>
    <w:rsid w:val="005F623D"/>
    <w:rsid w:val="005F6295"/>
    <w:rsid w:val="005F66A9"/>
    <w:rsid w:val="005F76E4"/>
    <w:rsid w:val="006002F4"/>
    <w:rsid w:val="00601004"/>
    <w:rsid w:val="00601768"/>
    <w:rsid w:val="00601C31"/>
    <w:rsid w:val="00602517"/>
    <w:rsid w:val="00602B81"/>
    <w:rsid w:val="00602DA8"/>
    <w:rsid w:val="00602E32"/>
    <w:rsid w:val="00603369"/>
    <w:rsid w:val="00603863"/>
    <w:rsid w:val="00604A69"/>
    <w:rsid w:val="00605F9E"/>
    <w:rsid w:val="0060676E"/>
    <w:rsid w:val="006069B5"/>
    <w:rsid w:val="006075C1"/>
    <w:rsid w:val="00610786"/>
    <w:rsid w:val="00610AF7"/>
    <w:rsid w:val="00610F00"/>
    <w:rsid w:val="006118FD"/>
    <w:rsid w:val="00611C80"/>
    <w:rsid w:val="0061206B"/>
    <w:rsid w:val="00613002"/>
    <w:rsid w:val="006131CD"/>
    <w:rsid w:val="0061366D"/>
    <w:rsid w:val="00613E51"/>
    <w:rsid w:val="00613FFB"/>
    <w:rsid w:val="006141C5"/>
    <w:rsid w:val="00615F14"/>
    <w:rsid w:val="00615FB8"/>
    <w:rsid w:val="006163BF"/>
    <w:rsid w:val="00616E9B"/>
    <w:rsid w:val="00616FE3"/>
    <w:rsid w:val="00617456"/>
    <w:rsid w:val="00617C10"/>
    <w:rsid w:val="00620394"/>
    <w:rsid w:val="00620771"/>
    <w:rsid w:val="006209E6"/>
    <w:rsid w:val="00620B61"/>
    <w:rsid w:val="00620D6E"/>
    <w:rsid w:val="006210E6"/>
    <w:rsid w:val="00622035"/>
    <w:rsid w:val="0062276A"/>
    <w:rsid w:val="006231AA"/>
    <w:rsid w:val="00623472"/>
    <w:rsid w:val="00623A3A"/>
    <w:rsid w:val="00623C36"/>
    <w:rsid w:val="00623DC5"/>
    <w:rsid w:val="0062407A"/>
    <w:rsid w:val="006250DA"/>
    <w:rsid w:val="006258D3"/>
    <w:rsid w:val="006268C0"/>
    <w:rsid w:val="00626A69"/>
    <w:rsid w:val="00626C7B"/>
    <w:rsid w:val="00627415"/>
    <w:rsid w:val="006277F0"/>
    <w:rsid w:val="00627C09"/>
    <w:rsid w:val="00627C0C"/>
    <w:rsid w:val="00627DAE"/>
    <w:rsid w:val="00630423"/>
    <w:rsid w:val="00630D80"/>
    <w:rsid w:val="00631CC3"/>
    <w:rsid w:val="00631E2F"/>
    <w:rsid w:val="00632CFB"/>
    <w:rsid w:val="006345FD"/>
    <w:rsid w:val="0063571D"/>
    <w:rsid w:val="006364C6"/>
    <w:rsid w:val="006366F5"/>
    <w:rsid w:val="006367A8"/>
    <w:rsid w:val="00636B40"/>
    <w:rsid w:val="006373CE"/>
    <w:rsid w:val="00637ED6"/>
    <w:rsid w:val="0064058D"/>
    <w:rsid w:val="00640603"/>
    <w:rsid w:val="0064092E"/>
    <w:rsid w:val="00640938"/>
    <w:rsid w:val="00640B7E"/>
    <w:rsid w:val="0064375E"/>
    <w:rsid w:val="006446CF"/>
    <w:rsid w:val="006456A6"/>
    <w:rsid w:val="00645716"/>
    <w:rsid w:val="00645906"/>
    <w:rsid w:val="00645EAB"/>
    <w:rsid w:val="00647E17"/>
    <w:rsid w:val="006500F5"/>
    <w:rsid w:val="00650BAA"/>
    <w:rsid w:val="00650C27"/>
    <w:rsid w:val="006519A5"/>
    <w:rsid w:val="00652CC4"/>
    <w:rsid w:val="00652E33"/>
    <w:rsid w:val="00652F8A"/>
    <w:rsid w:val="00653059"/>
    <w:rsid w:val="0065340E"/>
    <w:rsid w:val="00653659"/>
    <w:rsid w:val="00653B77"/>
    <w:rsid w:val="00653FE0"/>
    <w:rsid w:val="00655816"/>
    <w:rsid w:val="00655F4B"/>
    <w:rsid w:val="00656425"/>
    <w:rsid w:val="00656BE3"/>
    <w:rsid w:val="00656C31"/>
    <w:rsid w:val="0065700A"/>
    <w:rsid w:val="0065766A"/>
    <w:rsid w:val="00657C1E"/>
    <w:rsid w:val="00661A47"/>
    <w:rsid w:val="00661CC1"/>
    <w:rsid w:val="00662156"/>
    <w:rsid w:val="00663E56"/>
    <w:rsid w:val="00664BD1"/>
    <w:rsid w:val="006655FD"/>
    <w:rsid w:val="00666EEC"/>
    <w:rsid w:val="00667047"/>
    <w:rsid w:val="00667776"/>
    <w:rsid w:val="006678C8"/>
    <w:rsid w:val="00667913"/>
    <w:rsid w:val="0067053E"/>
    <w:rsid w:val="00670D60"/>
    <w:rsid w:val="00671183"/>
    <w:rsid w:val="00671ACE"/>
    <w:rsid w:val="00671BC1"/>
    <w:rsid w:val="00671C25"/>
    <w:rsid w:val="00672233"/>
    <w:rsid w:val="00672793"/>
    <w:rsid w:val="006727C8"/>
    <w:rsid w:val="00672DBF"/>
    <w:rsid w:val="00673504"/>
    <w:rsid w:val="00673AE2"/>
    <w:rsid w:val="006741F1"/>
    <w:rsid w:val="006744E8"/>
    <w:rsid w:val="00674A4C"/>
    <w:rsid w:val="00674EBB"/>
    <w:rsid w:val="0067531F"/>
    <w:rsid w:val="006767AF"/>
    <w:rsid w:val="00676949"/>
    <w:rsid w:val="006774B1"/>
    <w:rsid w:val="006776B4"/>
    <w:rsid w:val="006803F8"/>
    <w:rsid w:val="006808B7"/>
    <w:rsid w:val="00680F8A"/>
    <w:rsid w:val="00681469"/>
    <w:rsid w:val="006819CD"/>
    <w:rsid w:val="00682289"/>
    <w:rsid w:val="006824A2"/>
    <w:rsid w:val="00682661"/>
    <w:rsid w:val="006827AB"/>
    <w:rsid w:val="00684917"/>
    <w:rsid w:val="00684B28"/>
    <w:rsid w:val="00685704"/>
    <w:rsid w:val="006857FB"/>
    <w:rsid w:val="00685C37"/>
    <w:rsid w:val="006868E8"/>
    <w:rsid w:val="00686A4B"/>
    <w:rsid w:val="00686CA2"/>
    <w:rsid w:val="0068724C"/>
    <w:rsid w:val="00687DB3"/>
    <w:rsid w:val="0069061A"/>
    <w:rsid w:val="00690F03"/>
    <w:rsid w:val="0069108A"/>
    <w:rsid w:val="00691277"/>
    <w:rsid w:val="0069132D"/>
    <w:rsid w:val="006917A3"/>
    <w:rsid w:val="006918D7"/>
    <w:rsid w:val="00691E2C"/>
    <w:rsid w:val="00692352"/>
    <w:rsid w:val="0069253B"/>
    <w:rsid w:val="00692F3F"/>
    <w:rsid w:val="0069371E"/>
    <w:rsid w:val="00693A1E"/>
    <w:rsid w:val="006940F2"/>
    <w:rsid w:val="00694869"/>
    <w:rsid w:val="00694F3B"/>
    <w:rsid w:val="006959A5"/>
    <w:rsid w:val="00695F10"/>
    <w:rsid w:val="00696F2D"/>
    <w:rsid w:val="00697DDB"/>
    <w:rsid w:val="006A0772"/>
    <w:rsid w:val="006A0C7B"/>
    <w:rsid w:val="006A1B80"/>
    <w:rsid w:val="006A2529"/>
    <w:rsid w:val="006A3AB4"/>
    <w:rsid w:val="006A43CC"/>
    <w:rsid w:val="006A55E6"/>
    <w:rsid w:val="006A5F45"/>
    <w:rsid w:val="006A618A"/>
    <w:rsid w:val="006A6BCB"/>
    <w:rsid w:val="006A72DC"/>
    <w:rsid w:val="006A7828"/>
    <w:rsid w:val="006B0CAF"/>
    <w:rsid w:val="006B1A47"/>
    <w:rsid w:val="006B1BB4"/>
    <w:rsid w:val="006B31CF"/>
    <w:rsid w:val="006B393C"/>
    <w:rsid w:val="006B3F0E"/>
    <w:rsid w:val="006B40F7"/>
    <w:rsid w:val="006B4380"/>
    <w:rsid w:val="006B644D"/>
    <w:rsid w:val="006B6599"/>
    <w:rsid w:val="006B7161"/>
    <w:rsid w:val="006C0149"/>
    <w:rsid w:val="006C0B3D"/>
    <w:rsid w:val="006C12D2"/>
    <w:rsid w:val="006C14FB"/>
    <w:rsid w:val="006C177C"/>
    <w:rsid w:val="006C1AB4"/>
    <w:rsid w:val="006C1CA5"/>
    <w:rsid w:val="006C1E1A"/>
    <w:rsid w:val="006C20D8"/>
    <w:rsid w:val="006C216B"/>
    <w:rsid w:val="006C2DF3"/>
    <w:rsid w:val="006C3114"/>
    <w:rsid w:val="006C3384"/>
    <w:rsid w:val="006C3CC2"/>
    <w:rsid w:val="006C465A"/>
    <w:rsid w:val="006C625F"/>
    <w:rsid w:val="006C6263"/>
    <w:rsid w:val="006C6F40"/>
    <w:rsid w:val="006C70FF"/>
    <w:rsid w:val="006C78CA"/>
    <w:rsid w:val="006C7924"/>
    <w:rsid w:val="006D07BC"/>
    <w:rsid w:val="006D0862"/>
    <w:rsid w:val="006D0B33"/>
    <w:rsid w:val="006D2D4C"/>
    <w:rsid w:val="006D3310"/>
    <w:rsid w:val="006D3944"/>
    <w:rsid w:val="006D3958"/>
    <w:rsid w:val="006D4563"/>
    <w:rsid w:val="006D5809"/>
    <w:rsid w:val="006D5E49"/>
    <w:rsid w:val="006D66FC"/>
    <w:rsid w:val="006D67B6"/>
    <w:rsid w:val="006D6A8D"/>
    <w:rsid w:val="006D6CF2"/>
    <w:rsid w:val="006D79E4"/>
    <w:rsid w:val="006E0600"/>
    <w:rsid w:val="006E0E22"/>
    <w:rsid w:val="006E0E57"/>
    <w:rsid w:val="006E0FE3"/>
    <w:rsid w:val="006E23DB"/>
    <w:rsid w:val="006E262E"/>
    <w:rsid w:val="006E275F"/>
    <w:rsid w:val="006E2C4F"/>
    <w:rsid w:val="006E3B76"/>
    <w:rsid w:val="006E42FE"/>
    <w:rsid w:val="006E48E0"/>
    <w:rsid w:val="006E4CB4"/>
    <w:rsid w:val="006E592F"/>
    <w:rsid w:val="006E5E1B"/>
    <w:rsid w:val="006E5E83"/>
    <w:rsid w:val="006E7828"/>
    <w:rsid w:val="006E7A7B"/>
    <w:rsid w:val="006F0047"/>
    <w:rsid w:val="006F02AA"/>
    <w:rsid w:val="006F1017"/>
    <w:rsid w:val="006F18E7"/>
    <w:rsid w:val="006F1D2C"/>
    <w:rsid w:val="006F21A6"/>
    <w:rsid w:val="006F26E4"/>
    <w:rsid w:val="006F2AA3"/>
    <w:rsid w:val="006F2E34"/>
    <w:rsid w:val="006F34C1"/>
    <w:rsid w:val="006F497F"/>
    <w:rsid w:val="006F4FF1"/>
    <w:rsid w:val="006F5A25"/>
    <w:rsid w:val="006F5B74"/>
    <w:rsid w:val="006F639D"/>
    <w:rsid w:val="006F7495"/>
    <w:rsid w:val="006F7C1C"/>
    <w:rsid w:val="007007D5"/>
    <w:rsid w:val="00701114"/>
    <w:rsid w:val="0070125C"/>
    <w:rsid w:val="0070138D"/>
    <w:rsid w:val="007013E4"/>
    <w:rsid w:val="00701AAA"/>
    <w:rsid w:val="007027D7"/>
    <w:rsid w:val="00702853"/>
    <w:rsid w:val="00703FB7"/>
    <w:rsid w:val="007054FA"/>
    <w:rsid w:val="007057E7"/>
    <w:rsid w:val="0070624D"/>
    <w:rsid w:val="0070637B"/>
    <w:rsid w:val="00706F3D"/>
    <w:rsid w:val="00710013"/>
    <w:rsid w:val="0071017B"/>
    <w:rsid w:val="0071072F"/>
    <w:rsid w:val="00710F96"/>
    <w:rsid w:val="007114C6"/>
    <w:rsid w:val="00711C37"/>
    <w:rsid w:val="00711D0A"/>
    <w:rsid w:val="00712159"/>
    <w:rsid w:val="007121C4"/>
    <w:rsid w:val="00712C39"/>
    <w:rsid w:val="00713C26"/>
    <w:rsid w:val="007141C8"/>
    <w:rsid w:val="00714230"/>
    <w:rsid w:val="00714402"/>
    <w:rsid w:val="00715950"/>
    <w:rsid w:val="00716309"/>
    <w:rsid w:val="00716948"/>
    <w:rsid w:val="007169F5"/>
    <w:rsid w:val="00717D97"/>
    <w:rsid w:val="00717F45"/>
    <w:rsid w:val="00721147"/>
    <w:rsid w:val="00722150"/>
    <w:rsid w:val="007229CD"/>
    <w:rsid w:val="00722A81"/>
    <w:rsid w:val="00722E74"/>
    <w:rsid w:val="0072365D"/>
    <w:rsid w:val="007238A9"/>
    <w:rsid w:val="00723983"/>
    <w:rsid w:val="00723CAE"/>
    <w:rsid w:val="007243FD"/>
    <w:rsid w:val="007245C9"/>
    <w:rsid w:val="0072479E"/>
    <w:rsid w:val="0072521B"/>
    <w:rsid w:val="0072525A"/>
    <w:rsid w:val="00725F3A"/>
    <w:rsid w:val="007263EE"/>
    <w:rsid w:val="00726E56"/>
    <w:rsid w:val="00727554"/>
    <w:rsid w:val="00727995"/>
    <w:rsid w:val="00727FE7"/>
    <w:rsid w:val="007305B4"/>
    <w:rsid w:val="007308B7"/>
    <w:rsid w:val="00730BFF"/>
    <w:rsid w:val="0073123C"/>
    <w:rsid w:val="007314A4"/>
    <w:rsid w:val="007314D9"/>
    <w:rsid w:val="00731598"/>
    <w:rsid w:val="00731BFF"/>
    <w:rsid w:val="007322EB"/>
    <w:rsid w:val="00732468"/>
    <w:rsid w:val="00732DA7"/>
    <w:rsid w:val="00733600"/>
    <w:rsid w:val="007336EA"/>
    <w:rsid w:val="0073403B"/>
    <w:rsid w:val="0073448D"/>
    <w:rsid w:val="00734DB7"/>
    <w:rsid w:val="0073562E"/>
    <w:rsid w:val="00735B74"/>
    <w:rsid w:val="00736AF8"/>
    <w:rsid w:val="00737598"/>
    <w:rsid w:val="00740321"/>
    <w:rsid w:val="00741528"/>
    <w:rsid w:val="00741B25"/>
    <w:rsid w:val="00741BC7"/>
    <w:rsid w:val="00741FDB"/>
    <w:rsid w:val="007432B6"/>
    <w:rsid w:val="0074363D"/>
    <w:rsid w:val="007439CA"/>
    <w:rsid w:val="00743D5E"/>
    <w:rsid w:val="00744341"/>
    <w:rsid w:val="007446F6"/>
    <w:rsid w:val="00744DB0"/>
    <w:rsid w:val="00745996"/>
    <w:rsid w:val="007460DD"/>
    <w:rsid w:val="00746315"/>
    <w:rsid w:val="0074674A"/>
    <w:rsid w:val="007467F4"/>
    <w:rsid w:val="00746B32"/>
    <w:rsid w:val="00746D89"/>
    <w:rsid w:val="00747C08"/>
    <w:rsid w:val="0075008B"/>
    <w:rsid w:val="00750307"/>
    <w:rsid w:val="0075058F"/>
    <w:rsid w:val="00750948"/>
    <w:rsid w:val="007511EA"/>
    <w:rsid w:val="0075122D"/>
    <w:rsid w:val="007512E0"/>
    <w:rsid w:val="00751BAE"/>
    <w:rsid w:val="00752845"/>
    <w:rsid w:val="00752C60"/>
    <w:rsid w:val="0075329C"/>
    <w:rsid w:val="00754778"/>
    <w:rsid w:val="00755B0C"/>
    <w:rsid w:val="007563E2"/>
    <w:rsid w:val="007574B6"/>
    <w:rsid w:val="007600B7"/>
    <w:rsid w:val="007601A0"/>
    <w:rsid w:val="0076063F"/>
    <w:rsid w:val="0076115F"/>
    <w:rsid w:val="00761379"/>
    <w:rsid w:val="00761A82"/>
    <w:rsid w:val="00761B8C"/>
    <w:rsid w:val="00761F8C"/>
    <w:rsid w:val="00762D4F"/>
    <w:rsid w:val="00763995"/>
    <w:rsid w:val="007644C9"/>
    <w:rsid w:val="0076470C"/>
    <w:rsid w:val="00764B2F"/>
    <w:rsid w:val="007657D8"/>
    <w:rsid w:val="00766F7B"/>
    <w:rsid w:val="00767801"/>
    <w:rsid w:val="007679B3"/>
    <w:rsid w:val="00767DD6"/>
    <w:rsid w:val="00770456"/>
    <w:rsid w:val="00770551"/>
    <w:rsid w:val="007708C3"/>
    <w:rsid w:val="00770F0B"/>
    <w:rsid w:val="0077237F"/>
    <w:rsid w:val="00772A48"/>
    <w:rsid w:val="00772ED6"/>
    <w:rsid w:val="00772F64"/>
    <w:rsid w:val="00773316"/>
    <w:rsid w:val="00773CC5"/>
    <w:rsid w:val="0077407D"/>
    <w:rsid w:val="00774312"/>
    <w:rsid w:val="00774400"/>
    <w:rsid w:val="00774652"/>
    <w:rsid w:val="00774C9C"/>
    <w:rsid w:val="00774F92"/>
    <w:rsid w:val="00775927"/>
    <w:rsid w:val="00777366"/>
    <w:rsid w:val="007778AF"/>
    <w:rsid w:val="00777BA4"/>
    <w:rsid w:val="007803EB"/>
    <w:rsid w:val="007805CA"/>
    <w:rsid w:val="00780EB2"/>
    <w:rsid w:val="00781566"/>
    <w:rsid w:val="00781BC3"/>
    <w:rsid w:val="00782C2C"/>
    <w:rsid w:val="00782C85"/>
    <w:rsid w:val="00783002"/>
    <w:rsid w:val="00783067"/>
    <w:rsid w:val="007841F0"/>
    <w:rsid w:val="00784832"/>
    <w:rsid w:val="00784C6D"/>
    <w:rsid w:val="00785AF4"/>
    <w:rsid w:val="00785B99"/>
    <w:rsid w:val="00785E75"/>
    <w:rsid w:val="00786598"/>
    <w:rsid w:val="00786FB4"/>
    <w:rsid w:val="00790502"/>
    <w:rsid w:val="00790B93"/>
    <w:rsid w:val="007919C9"/>
    <w:rsid w:val="00791B59"/>
    <w:rsid w:val="00791F27"/>
    <w:rsid w:val="00792670"/>
    <w:rsid w:val="00792CE7"/>
    <w:rsid w:val="00792FEF"/>
    <w:rsid w:val="00793602"/>
    <w:rsid w:val="007938FD"/>
    <w:rsid w:val="007945B0"/>
    <w:rsid w:val="00794E4F"/>
    <w:rsid w:val="00794F8C"/>
    <w:rsid w:val="00795FC9"/>
    <w:rsid w:val="00796532"/>
    <w:rsid w:val="0079696D"/>
    <w:rsid w:val="00796F95"/>
    <w:rsid w:val="0079718E"/>
    <w:rsid w:val="007976AB"/>
    <w:rsid w:val="0079795A"/>
    <w:rsid w:val="00797A45"/>
    <w:rsid w:val="007A01EB"/>
    <w:rsid w:val="007A028D"/>
    <w:rsid w:val="007A02C7"/>
    <w:rsid w:val="007A055E"/>
    <w:rsid w:val="007A0A03"/>
    <w:rsid w:val="007A1082"/>
    <w:rsid w:val="007A2165"/>
    <w:rsid w:val="007A2643"/>
    <w:rsid w:val="007A271B"/>
    <w:rsid w:val="007A291C"/>
    <w:rsid w:val="007A3FB8"/>
    <w:rsid w:val="007A4343"/>
    <w:rsid w:val="007A461D"/>
    <w:rsid w:val="007A5CA3"/>
    <w:rsid w:val="007A6D25"/>
    <w:rsid w:val="007A7550"/>
    <w:rsid w:val="007A794E"/>
    <w:rsid w:val="007A7A6D"/>
    <w:rsid w:val="007A7E0A"/>
    <w:rsid w:val="007A7E71"/>
    <w:rsid w:val="007B0D92"/>
    <w:rsid w:val="007B1153"/>
    <w:rsid w:val="007B1F30"/>
    <w:rsid w:val="007B20BB"/>
    <w:rsid w:val="007B2DB2"/>
    <w:rsid w:val="007B3232"/>
    <w:rsid w:val="007B3667"/>
    <w:rsid w:val="007B3748"/>
    <w:rsid w:val="007B3A92"/>
    <w:rsid w:val="007B3DA5"/>
    <w:rsid w:val="007B3E5B"/>
    <w:rsid w:val="007B428D"/>
    <w:rsid w:val="007B5861"/>
    <w:rsid w:val="007B6593"/>
    <w:rsid w:val="007B65EA"/>
    <w:rsid w:val="007B6D9B"/>
    <w:rsid w:val="007B70A6"/>
    <w:rsid w:val="007B7202"/>
    <w:rsid w:val="007B72F1"/>
    <w:rsid w:val="007B75C6"/>
    <w:rsid w:val="007B777F"/>
    <w:rsid w:val="007B77B1"/>
    <w:rsid w:val="007C01B0"/>
    <w:rsid w:val="007C01F0"/>
    <w:rsid w:val="007C1066"/>
    <w:rsid w:val="007C1163"/>
    <w:rsid w:val="007C13A7"/>
    <w:rsid w:val="007C19F1"/>
    <w:rsid w:val="007C1CCE"/>
    <w:rsid w:val="007C267E"/>
    <w:rsid w:val="007C2A7F"/>
    <w:rsid w:val="007C2CBD"/>
    <w:rsid w:val="007C2E49"/>
    <w:rsid w:val="007C3C1F"/>
    <w:rsid w:val="007C3EF5"/>
    <w:rsid w:val="007C4259"/>
    <w:rsid w:val="007C4E3F"/>
    <w:rsid w:val="007C5223"/>
    <w:rsid w:val="007C53DE"/>
    <w:rsid w:val="007C5411"/>
    <w:rsid w:val="007C5692"/>
    <w:rsid w:val="007C5BD3"/>
    <w:rsid w:val="007C7D4A"/>
    <w:rsid w:val="007C7D7C"/>
    <w:rsid w:val="007D0433"/>
    <w:rsid w:val="007D04A8"/>
    <w:rsid w:val="007D0D7A"/>
    <w:rsid w:val="007D1288"/>
    <w:rsid w:val="007D165F"/>
    <w:rsid w:val="007D1F9F"/>
    <w:rsid w:val="007D2812"/>
    <w:rsid w:val="007D2C91"/>
    <w:rsid w:val="007D3644"/>
    <w:rsid w:val="007D3FD6"/>
    <w:rsid w:val="007D5997"/>
    <w:rsid w:val="007D5E4D"/>
    <w:rsid w:val="007D68A2"/>
    <w:rsid w:val="007D7E0D"/>
    <w:rsid w:val="007E0370"/>
    <w:rsid w:val="007E042F"/>
    <w:rsid w:val="007E1124"/>
    <w:rsid w:val="007E18E1"/>
    <w:rsid w:val="007E1D9C"/>
    <w:rsid w:val="007E233D"/>
    <w:rsid w:val="007E279A"/>
    <w:rsid w:val="007E2B9E"/>
    <w:rsid w:val="007E2D6C"/>
    <w:rsid w:val="007E4C21"/>
    <w:rsid w:val="007E4D9B"/>
    <w:rsid w:val="007E5258"/>
    <w:rsid w:val="007E5B9D"/>
    <w:rsid w:val="007E6847"/>
    <w:rsid w:val="007E6B61"/>
    <w:rsid w:val="007E6BA2"/>
    <w:rsid w:val="007E72C1"/>
    <w:rsid w:val="007E778A"/>
    <w:rsid w:val="007E7AC1"/>
    <w:rsid w:val="007F01C2"/>
    <w:rsid w:val="007F0268"/>
    <w:rsid w:val="007F0713"/>
    <w:rsid w:val="007F15B7"/>
    <w:rsid w:val="007F1AE2"/>
    <w:rsid w:val="007F1CB9"/>
    <w:rsid w:val="007F20F3"/>
    <w:rsid w:val="007F27F4"/>
    <w:rsid w:val="007F3C19"/>
    <w:rsid w:val="007F63A5"/>
    <w:rsid w:val="007F6479"/>
    <w:rsid w:val="007F6E0C"/>
    <w:rsid w:val="007F73C3"/>
    <w:rsid w:val="007F7567"/>
    <w:rsid w:val="007F79CB"/>
    <w:rsid w:val="007F7D39"/>
    <w:rsid w:val="00800C57"/>
    <w:rsid w:val="00802050"/>
    <w:rsid w:val="008027CE"/>
    <w:rsid w:val="008030DC"/>
    <w:rsid w:val="0080343C"/>
    <w:rsid w:val="00803440"/>
    <w:rsid w:val="00803BE4"/>
    <w:rsid w:val="00803D45"/>
    <w:rsid w:val="0080421A"/>
    <w:rsid w:val="00804252"/>
    <w:rsid w:val="00804707"/>
    <w:rsid w:val="008054BE"/>
    <w:rsid w:val="008055D4"/>
    <w:rsid w:val="008055F0"/>
    <w:rsid w:val="00805CF8"/>
    <w:rsid w:val="00805D51"/>
    <w:rsid w:val="00806568"/>
    <w:rsid w:val="00806794"/>
    <w:rsid w:val="00807366"/>
    <w:rsid w:val="00807D85"/>
    <w:rsid w:val="00811C76"/>
    <w:rsid w:val="00811CFE"/>
    <w:rsid w:val="00812013"/>
    <w:rsid w:val="008123A5"/>
    <w:rsid w:val="00812F65"/>
    <w:rsid w:val="00813270"/>
    <w:rsid w:val="00813353"/>
    <w:rsid w:val="008134C9"/>
    <w:rsid w:val="0081371B"/>
    <w:rsid w:val="00813A83"/>
    <w:rsid w:val="00813B18"/>
    <w:rsid w:val="00813BED"/>
    <w:rsid w:val="00813FE4"/>
    <w:rsid w:val="008142CF"/>
    <w:rsid w:val="00814484"/>
    <w:rsid w:val="008144E8"/>
    <w:rsid w:val="00814556"/>
    <w:rsid w:val="00815144"/>
    <w:rsid w:val="00815B95"/>
    <w:rsid w:val="00815D39"/>
    <w:rsid w:val="00815EEB"/>
    <w:rsid w:val="00816072"/>
    <w:rsid w:val="00817945"/>
    <w:rsid w:val="00817BA3"/>
    <w:rsid w:val="00817DC6"/>
    <w:rsid w:val="008203CB"/>
    <w:rsid w:val="00820716"/>
    <w:rsid w:val="00821AAA"/>
    <w:rsid w:val="008220EF"/>
    <w:rsid w:val="0082262D"/>
    <w:rsid w:val="00822AF6"/>
    <w:rsid w:val="00822F2A"/>
    <w:rsid w:val="00823213"/>
    <w:rsid w:val="00824098"/>
    <w:rsid w:val="008240DD"/>
    <w:rsid w:val="0082515B"/>
    <w:rsid w:val="008255E3"/>
    <w:rsid w:val="00825A2C"/>
    <w:rsid w:val="008260CE"/>
    <w:rsid w:val="008262F9"/>
    <w:rsid w:val="0082682E"/>
    <w:rsid w:val="00826C7D"/>
    <w:rsid w:val="0082710A"/>
    <w:rsid w:val="008275DA"/>
    <w:rsid w:val="00827771"/>
    <w:rsid w:val="008277D0"/>
    <w:rsid w:val="00827934"/>
    <w:rsid w:val="00827AFF"/>
    <w:rsid w:val="0083027A"/>
    <w:rsid w:val="00830699"/>
    <w:rsid w:val="008309D1"/>
    <w:rsid w:val="00830A9F"/>
    <w:rsid w:val="008310A4"/>
    <w:rsid w:val="00831976"/>
    <w:rsid w:val="00831E09"/>
    <w:rsid w:val="008325D8"/>
    <w:rsid w:val="0083260A"/>
    <w:rsid w:val="008328B1"/>
    <w:rsid w:val="00832C01"/>
    <w:rsid w:val="00833527"/>
    <w:rsid w:val="008336F7"/>
    <w:rsid w:val="00833F5C"/>
    <w:rsid w:val="008343F1"/>
    <w:rsid w:val="00835174"/>
    <w:rsid w:val="00835322"/>
    <w:rsid w:val="008354C6"/>
    <w:rsid w:val="008359ED"/>
    <w:rsid w:val="00835BFF"/>
    <w:rsid w:val="008363CA"/>
    <w:rsid w:val="00836603"/>
    <w:rsid w:val="00836A6E"/>
    <w:rsid w:val="00837989"/>
    <w:rsid w:val="00837D98"/>
    <w:rsid w:val="00840902"/>
    <w:rsid w:val="00840AA7"/>
    <w:rsid w:val="008411AC"/>
    <w:rsid w:val="008415FA"/>
    <w:rsid w:val="008416C4"/>
    <w:rsid w:val="008419F5"/>
    <w:rsid w:val="00841DE6"/>
    <w:rsid w:val="00841F4F"/>
    <w:rsid w:val="0084242B"/>
    <w:rsid w:val="008427F8"/>
    <w:rsid w:val="00842C67"/>
    <w:rsid w:val="00843E05"/>
    <w:rsid w:val="0084410A"/>
    <w:rsid w:val="008450C4"/>
    <w:rsid w:val="00845198"/>
    <w:rsid w:val="0084545F"/>
    <w:rsid w:val="008455C5"/>
    <w:rsid w:val="008455F1"/>
    <w:rsid w:val="00845DCE"/>
    <w:rsid w:val="00845E0D"/>
    <w:rsid w:val="00846283"/>
    <w:rsid w:val="00846E74"/>
    <w:rsid w:val="00847305"/>
    <w:rsid w:val="00847A83"/>
    <w:rsid w:val="0085053A"/>
    <w:rsid w:val="00851016"/>
    <w:rsid w:val="00851474"/>
    <w:rsid w:val="00851BC8"/>
    <w:rsid w:val="008521E6"/>
    <w:rsid w:val="0085245A"/>
    <w:rsid w:val="00853580"/>
    <w:rsid w:val="008536B9"/>
    <w:rsid w:val="0085378D"/>
    <w:rsid w:val="00853A6F"/>
    <w:rsid w:val="00853C67"/>
    <w:rsid w:val="0085407C"/>
    <w:rsid w:val="0085431A"/>
    <w:rsid w:val="008546FC"/>
    <w:rsid w:val="00854ACE"/>
    <w:rsid w:val="0085500E"/>
    <w:rsid w:val="008564FA"/>
    <w:rsid w:val="00856B1A"/>
    <w:rsid w:val="00857828"/>
    <w:rsid w:val="00857E11"/>
    <w:rsid w:val="008613CA"/>
    <w:rsid w:val="0086243E"/>
    <w:rsid w:val="008626E5"/>
    <w:rsid w:val="00862BE5"/>
    <w:rsid w:val="00862C59"/>
    <w:rsid w:val="00863380"/>
    <w:rsid w:val="0086484C"/>
    <w:rsid w:val="008656E0"/>
    <w:rsid w:val="00865AC2"/>
    <w:rsid w:val="00865D54"/>
    <w:rsid w:val="00865F41"/>
    <w:rsid w:val="00866553"/>
    <w:rsid w:val="00866AF9"/>
    <w:rsid w:val="00870DBB"/>
    <w:rsid w:val="00871046"/>
    <w:rsid w:val="008716AA"/>
    <w:rsid w:val="008717EE"/>
    <w:rsid w:val="008723C7"/>
    <w:rsid w:val="008728C0"/>
    <w:rsid w:val="00872BDA"/>
    <w:rsid w:val="008731CC"/>
    <w:rsid w:val="00873BAD"/>
    <w:rsid w:val="00874146"/>
    <w:rsid w:val="0087449C"/>
    <w:rsid w:val="00874921"/>
    <w:rsid w:val="00874F42"/>
    <w:rsid w:val="008753F5"/>
    <w:rsid w:val="0087569D"/>
    <w:rsid w:val="008758A2"/>
    <w:rsid w:val="00875B54"/>
    <w:rsid w:val="00875B6B"/>
    <w:rsid w:val="00875F79"/>
    <w:rsid w:val="00876333"/>
    <w:rsid w:val="0087675E"/>
    <w:rsid w:val="00876D89"/>
    <w:rsid w:val="00877636"/>
    <w:rsid w:val="008802BC"/>
    <w:rsid w:val="00880E40"/>
    <w:rsid w:val="00880E98"/>
    <w:rsid w:val="008819DE"/>
    <w:rsid w:val="00881E61"/>
    <w:rsid w:val="008821C7"/>
    <w:rsid w:val="008821F7"/>
    <w:rsid w:val="00882356"/>
    <w:rsid w:val="008823C4"/>
    <w:rsid w:val="00882736"/>
    <w:rsid w:val="00882800"/>
    <w:rsid w:val="00882B7B"/>
    <w:rsid w:val="008834D4"/>
    <w:rsid w:val="008845F7"/>
    <w:rsid w:val="00884A6A"/>
    <w:rsid w:val="00884F32"/>
    <w:rsid w:val="0088501F"/>
    <w:rsid w:val="00885E71"/>
    <w:rsid w:val="00886082"/>
    <w:rsid w:val="00886616"/>
    <w:rsid w:val="0088671D"/>
    <w:rsid w:val="00886F88"/>
    <w:rsid w:val="00890B3D"/>
    <w:rsid w:val="00890BE4"/>
    <w:rsid w:val="00890FC9"/>
    <w:rsid w:val="008910F2"/>
    <w:rsid w:val="0089165B"/>
    <w:rsid w:val="008924CA"/>
    <w:rsid w:val="00892825"/>
    <w:rsid w:val="00892BB3"/>
    <w:rsid w:val="00892C41"/>
    <w:rsid w:val="008930CA"/>
    <w:rsid w:val="0089446D"/>
    <w:rsid w:val="00896DE4"/>
    <w:rsid w:val="00897C26"/>
    <w:rsid w:val="00897FE8"/>
    <w:rsid w:val="008A05CB"/>
    <w:rsid w:val="008A18DF"/>
    <w:rsid w:val="008A19F5"/>
    <w:rsid w:val="008A2556"/>
    <w:rsid w:val="008A35A5"/>
    <w:rsid w:val="008A3EBF"/>
    <w:rsid w:val="008A3F85"/>
    <w:rsid w:val="008A516A"/>
    <w:rsid w:val="008A52D1"/>
    <w:rsid w:val="008A60D7"/>
    <w:rsid w:val="008A651B"/>
    <w:rsid w:val="008A7E58"/>
    <w:rsid w:val="008A7F1E"/>
    <w:rsid w:val="008B13F1"/>
    <w:rsid w:val="008B14D8"/>
    <w:rsid w:val="008B185C"/>
    <w:rsid w:val="008B1EA5"/>
    <w:rsid w:val="008B22D2"/>
    <w:rsid w:val="008B2862"/>
    <w:rsid w:val="008B50E3"/>
    <w:rsid w:val="008B5CC6"/>
    <w:rsid w:val="008B6261"/>
    <w:rsid w:val="008B6268"/>
    <w:rsid w:val="008B6279"/>
    <w:rsid w:val="008B65CA"/>
    <w:rsid w:val="008B71B6"/>
    <w:rsid w:val="008B73B6"/>
    <w:rsid w:val="008B7487"/>
    <w:rsid w:val="008C0069"/>
    <w:rsid w:val="008C01E4"/>
    <w:rsid w:val="008C061F"/>
    <w:rsid w:val="008C162E"/>
    <w:rsid w:val="008C1AF6"/>
    <w:rsid w:val="008C25E3"/>
    <w:rsid w:val="008C304F"/>
    <w:rsid w:val="008C3B33"/>
    <w:rsid w:val="008C4E5D"/>
    <w:rsid w:val="008C4F8D"/>
    <w:rsid w:val="008C510E"/>
    <w:rsid w:val="008C561A"/>
    <w:rsid w:val="008C623E"/>
    <w:rsid w:val="008C626D"/>
    <w:rsid w:val="008C63E3"/>
    <w:rsid w:val="008C6483"/>
    <w:rsid w:val="008C73AD"/>
    <w:rsid w:val="008C74EB"/>
    <w:rsid w:val="008D05A4"/>
    <w:rsid w:val="008D083E"/>
    <w:rsid w:val="008D0CD1"/>
    <w:rsid w:val="008D1990"/>
    <w:rsid w:val="008D1CCC"/>
    <w:rsid w:val="008D1DF1"/>
    <w:rsid w:val="008D2508"/>
    <w:rsid w:val="008D266A"/>
    <w:rsid w:val="008D290D"/>
    <w:rsid w:val="008D2DD1"/>
    <w:rsid w:val="008D2F19"/>
    <w:rsid w:val="008D4230"/>
    <w:rsid w:val="008D436A"/>
    <w:rsid w:val="008D43D4"/>
    <w:rsid w:val="008D44A8"/>
    <w:rsid w:val="008D49D6"/>
    <w:rsid w:val="008D4D8C"/>
    <w:rsid w:val="008D5606"/>
    <w:rsid w:val="008D6272"/>
    <w:rsid w:val="008D6822"/>
    <w:rsid w:val="008D7E44"/>
    <w:rsid w:val="008E028A"/>
    <w:rsid w:val="008E0599"/>
    <w:rsid w:val="008E0B2E"/>
    <w:rsid w:val="008E133A"/>
    <w:rsid w:val="008E16F7"/>
    <w:rsid w:val="008E21B3"/>
    <w:rsid w:val="008E22B2"/>
    <w:rsid w:val="008E36DC"/>
    <w:rsid w:val="008E3932"/>
    <w:rsid w:val="008E3949"/>
    <w:rsid w:val="008E3D89"/>
    <w:rsid w:val="008E4250"/>
    <w:rsid w:val="008E4AFA"/>
    <w:rsid w:val="008E501A"/>
    <w:rsid w:val="008E5756"/>
    <w:rsid w:val="008E6390"/>
    <w:rsid w:val="008E6ECD"/>
    <w:rsid w:val="008E7BA4"/>
    <w:rsid w:val="008E7E5A"/>
    <w:rsid w:val="008E7F4F"/>
    <w:rsid w:val="008F0AF8"/>
    <w:rsid w:val="008F18A9"/>
    <w:rsid w:val="008F1BC0"/>
    <w:rsid w:val="008F22FD"/>
    <w:rsid w:val="008F2748"/>
    <w:rsid w:val="008F2C03"/>
    <w:rsid w:val="008F2D38"/>
    <w:rsid w:val="008F32E1"/>
    <w:rsid w:val="008F542C"/>
    <w:rsid w:val="008F600D"/>
    <w:rsid w:val="008F6BFA"/>
    <w:rsid w:val="008F6E85"/>
    <w:rsid w:val="008F6EEA"/>
    <w:rsid w:val="008F72AC"/>
    <w:rsid w:val="009006BE"/>
    <w:rsid w:val="009008D3"/>
    <w:rsid w:val="009014AF"/>
    <w:rsid w:val="009017A8"/>
    <w:rsid w:val="009022D2"/>
    <w:rsid w:val="009029A2"/>
    <w:rsid w:val="009029CA"/>
    <w:rsid w:val="00902CBF"/>
    <w:rsid w:val="0090315D"/>
    <w:rsid w:val="009036E4"/>
    <w:rsid w:val="00903A30"/>
    <w:rsid w:val="00904A42"/>
    <w:rsid w:val="00904C7E"/>
    <w:rsid w:val="00904DA8"/>
    <w:rsid w:val="009061E7"/>
    <w:rsid w:val="009065DD"/>
    <w:rsid w:val="00906914"/>
    <w:rsid w:val="00906E74"/>
    <w:rsid w:val="009072B6"/>
    <w:rsid w:val="009075AF"/>
    <w:rsid w:val="00910891"/>
    <w:rsid w:val="009118D9"/>
    <w:rsid w:val="00911BE2"/>
    <w:rsid w:val="00911C8B"/>
    <w:rsid w:val="00911E78"/>
    <w:rsid w:val="0091239F"/>
    <w:rsid w:val="00912520"/>
    <w:rsid w:val="00912FEC"/>
    <w:rsid w:val="0091369A"/>
    <w:rsid w:val="009140AB"/>
    <w:rsid w:val="009153B3"/>
    <w:rsid w:val="00915DEF"/>
    <w:rsid w:val="00915E6A"/>
    <w:rsid w:val="00915ED5"/>
    <w:rsid w:val="0091601F"/>
    <w:rsid w:val="0091621A"/>
    <w:rsid w:val="00916F9E"/>
    <w:rsid w:val="00920059"/>
    <w:rsid w:val="00920C9E"/>
    <w:rsid w:val="009218FE"/>
    <w:rsid w:val="009231E6"/>
    <w:rsid w:val="00923548"/>
    <w:rsid w:val="0092387F"/>
    <w:rsid w:val="00923DC1"/>
    <w:rsid w:val="009249D1"/>
    <w:rsid w:val="00924B9C"/>
    <w:rsid w:val="009266E7"/>
    <w:rsid w:val="00927185"/>
    <w:rsid w:val="00927529"/>
    <w:rsid w:val="009277EE"/>
    <w:rsid w:val="009279FF"/>
    <w:rsid w:val="0093040F"/>
    <w:rsid w:val="009316F5"/>
    <w:rsid w:val="009317DC"/>
    <w:rsid w:val="00931F5B"/>
    <w:rsid w:val="00931F70"/>
    <w:rsid w:val="0093217F"/>
    <w:rsid w:val="009326DD"/>
    <w:rsid w:val="0093294F"/>
    <w:rsid w:val="0093299A"/>
    <w:rsid w:val="0093314A"/>
    <w:rsid w:val="0093356C"/>
    <w:rsid w:val="009338A5"/>
    <w:rsid w:val="00933AAB"/>
    <w:rsid w:val="00934795"/>
    <w:rsid w:val="00934B53"/>
    <w:rsid w:val="00934BFA"/>
    <w:rsid w:val="00935009"/>
    <w:rsid w:val="0093500C"/>
    <w:rsid w:val="009363F3"/>
    <w:rsid w:val="00936E98"/>
    <w:rsid w:val="009371EB"/>
    <w:rsid w:val="00937356"/>
    <w:rsid w:val="00940262"/>
    <w:rsid w:val="00940279"/>
    <w:rsid w:val="0094062E"/>
    <w:rsid w:val="009409E2"/>
    <w:rsid w:val="00940C5C"/>
    <w:rsid w:val="00940D07"/>
    <w:rsid w:val="00941621"/>
    <w:rsid w:val="00943D0E"/>
    <w:rsid w:val="00943DF2"/>
    <w:rsid w:val="009449F0"/>
    <w:rsid w:val="00945574"/>
    <w:rsid w:val="00945FDA"/>
    <w:rsid w:val="0094624C"/>
    <w:rsid w:val="009462E0"/>
    <w:rsid w:val="00946396"/>
    <w:rsid w:val="0094675C"/>
    <w:rsid w:val="00946C60"/>
    <w:rsid w:val="00946EF8"/>
    <w:rsid w:val="00946FF5"/>
    <w:rsid w:val="00947AF0"/>
    <w:rsid w:val="00947C59"/>
    <w:rsid w:val="009501D4"/>
    <w:rsid w:val="00950481"/>
    <w:rsid w:val="00950C87"/>
    <w:rsid w:val="00950F87"/>
    <w:rsid w:val="00951F5A"/>
    <w:rsid w:val="009529F2"/>
    <w:rsid w:val="00952D36"/>
    <w:rsid w:val="0095307F"/>
    <w:rsid w:val="00953689"/>
    <w:rsid w:val="009536DA"/>
    <w:rsid w:val="00953D35"/>
    <w:rsid w:val="00954027"/>
    <w:rsid w:val="009543C5"/>
    <w:rsid w:val="0095444A"/>
    <w:rsid w:val="00954AD4"/>
    <w:rsid w:val="00955EA9"/>
    <w:rsid w:val="00955EE9"/>
    <w:rsid w:val="00957A36"/>
    <w:rsid w:val="00957D06"/>
    <w:rsid w:val="00960C8F"/>
    <w:rsid w:val="00960D20"/>
    <w:rsid w:val="00961237"/>
    <w:rsid w:val="0096123C"/>
    <w:rsid w:val="009613EE"/>
    <w:rsid w:val="009619D8"/>
    <w:rsid w:val="00963656"/>
    <w:rsid w:val="00964D07"/>
    <w:rsid w:val="00965577"/>
    <w:rsid w:val="00965AFC"/>
    <w:rsid w:val="009662BC"/>
    <w:rsid w:val="009663C4"/>
    <w:rsid w:val="0096737F"/>
    <w:rsid w:val="009676BA"/>
    <w:rsid w:val="009678F1"/>
    <w:rsid w:val="00967918"/>
    <w:rsid w:val="00967A18"/>
    <w:rsid w:val="009705CE"/>
    <w:rsid w:val="00970FCF"/>
    <w:rsid w:val="009716D1"/>
    <w:rsid w:val="00971DF0"/>
    <w:rsid w:val="00972988"/>
    <w:rsid w:val="00973C53"/>
    <w:rsid w:val="009755BC"/>
    <w:rsid w:val="00975E58"/>
    <w:rsid w:val="00975F50"/>
    <w:rsid w:val="0097675D"/>
    <w:rsid w:val="009767E8"/>
    <w:rsid w:val="00976993"/>
    <w:rsid w:val="00976CEA"/>
    <w:rsid w:val="00976EC2"/>
    <w:rsid w:val="0097726E"/>
    <w:rsid w:val="00980544"/>
    <w:rsid w:val="009807F1"/>
    <w:rsid w:val="00980F73"/>
    <w:rsid w:val="009812A0"/>
    <w:rsid w:val="009819E5"/>
    <w:rsid w:val="00981AF1"/>
    <w:rsid w:val="009822E0"/>
    <w:rsid w:val="0098237C"/>
    <w:rsid w:val="009827DE"/>
    <w:rsid w:val="00982A53"/>
    <w:rsid w:val="00983023"/>
    <w:rsid w:val="00983044"/>
    <w:rsid w:val="0098349A"/>
    <w:rsid w:val="009843FD"/>
    <w:rsid w:val="00985CE7"/>
    <w:rsid w:val="00985EB6"/>
    <w:rsid w:val="00986426"/>
    <w:rsid w:val="0098670A"/>
    <w:rsid w:val="00986776"/>
    <w:rsid w:val="009909FC"/>
    <w:rsid w:val="00990AA8"/>
    <w:rsid w:val="00990E71"/>
    <w:rsid w:val="00990F42"/>
    <w:rsid w:val="009910EA"/>
    <w:rsid w:val="00991307"/>
    <w:rsid w:val="00992070"/>
    <w:rsid w:val="00992C0A"/>
    <w:rsid w:val="00994198"/>
    <w:rsid w:val="00994DB8"/>
    <w:rsid w:val="00995698"/>
    <w:rsid w:val="009956F6"/>
    <w:rsid w:val="009960AE"/>
    <w:rsid w:val="009968E2"/>
    <w:rsid w:val="009975BA"/>
    <w:rsid w:val="00997617"/>
    <w:rsid w:val="00997F79"/>
    <w:rsid w:val="009A01A2"/>
    <w:rsid w:val="009A083E"/>
    <w:rsid w:val="009A08C4"/>
    <w:rsid w:val="009A0DC9"/>
    <w:rsid w:val="009A1651"/>
    <w:rsid w:val="009A1673"/>
    <w:rsid w:val="009A17BF"/>
    <w:rsid w:val="009A2964"/>
    <w:rsid w:val="009A2A25"/>
    <w:rsid w:val="009A2A33"/>
    <w:rsid w:val="009A2F36"/>
    <w:rsid w:val="009A3590"/>
    <w:rsid w:val="009A3672"/>
    <w:rsid w:val="009A3A0E"/>
    <w:rsid w:val="009A40AA"/>
    <w:rsid w:val="009A49FA"/>
    <w:rsid w:val="009A51B2"/>
    <w:rsid w:val="009A5D1F"/>
    <w:rsid w:val="009A686D"/>
    <w:rsid w:val="009A6957"/>
    <w:rsid w:val="009A6AED"/>
    <w:rsid w:val="009A7427"/>
    <w:rsid w:val="009A7778"/>
    <w:rsid w:val="009A77E5"/>
    <w:rsid w:val="009A7B18"/>
    <w:rsid w:val="009A7F42"/>
    <w:rsid w:val="009B1D70"/>
    <w:rsid w:val="009B3339"/>
    <w:rsid w:val="009B4382"/>
    <w:rsid w:val="009B44B5"/>
    <w:rsid w:val="009B4D80"/>
    <w:rsid w:val="009B4E64"/>
    <w:rsid w:val="009B5B1C"/>
    <w:rsid w:val="009B62B8"/>
    <w:rsid w:val="009B74B3"/>
    <w:rsid w:val="009B7740"/>
    <w:rsid w:val="009B79B5"/>
    <w:rsid w:val="009B7D3A"/>
    <w:rsid w:val="009B7F5E"/>
    <w:rsid w:val="009B7FD9"/>
    <w:rsid w:val="009C0B7D"/>
    <w:rsid w:val="009C0E1B"/>
    <w:rsid w:val="009C0EFF"/>
    <w:rsid w:val="009C2080"/>
    <w:rsid w:val="009C3006"/>
    <w:rsid w:val="009C343F"/>
    <w:rsid w:val="009C47FB"/>
    <w:rsid w:val="009C51BF"/>
    <w:rsid w:val="009C5354"/>
    <w:rsid w:val="009C5495"/>
    <w:rsid w:val="009C588F"/>
    <w:rsid w:val="009C652B"/>
    <w:rsid w:val="009C7007"/>
    <w:rsid w:val="009D01BE"/>
    <w:rsid w:val="009D0A24"/>
    <w:rsid w:val="009D0A30"/>
    <w:rsid w:val="009D0B99"/>
    <w:rsid w:val="009D0F12"/>
    <w:rsid w:val="009D124C"/>
    <w:rsid w:val="009D1974"/>
    <w:rsid w:val="009D24AC"/>
    <w:rsid w:val="009D2C25"/>
    <w:rsid w:val="009D2D68"/>
    <w:rsid w:val="009D366B"/>
    <w:rsid w:val="009D3B29"/>
    <w:rsid w:val="009D4C46"/>
    <w:rsid w:val="009D4CE4"/>
    <w:rsid w:val="009D4EB5"/>
    <w:rsid w:val="009D55B5"/>
    <w:rsid w:val="009D5FD9"/>
    <w:rsid w:val="009D6565"/>
    <w:rsid w:val="009D6F5F"/>
    <w:rsid w:val="009D7C6C"/>
    <w:rsid w:val="009E0FC2"/>
    <w:rsid w:val="009E0FE5"/>
    <w:rsid w:val="009E1608"/>
    <w:rsid w:val="009E1D15"/>
    <w:rsid w:val="009E29D1"/>
    <w:rsid w:val="009E2A2C"/>
    <w:rsid w:val="009E2D49"/>
    <w:rsid w:val="009E3B90"/>
    <w:rsid w:val="009E3E8C"/>
    <w:rsid w:val="009E3F0D"/>
    <w:rsid w:val="009E4D36"/>
    <w:rsid w:val="009E5A96"/>
    <w:rsid w:val="009E5E9F"/>
    <w:rsid w:val="009E641D"/>
    <w:rsid w:val="009E7F04"/>
    <w:rsid w:val="009F081D"/>
    <w:rsid w:val="009F0BC3"/>
    <w:rsid w:val="009F0C0A"/>
    <w:rsid w:val="009F112E"/>
    <w:rsid w:val="009F1585"/>
    <w:rsid w:val="009F1863"/>
    <w:rsid w:val="009F23A2"/>
    <w:rsid w:val="009F24CA"/>
    <w:rsid w:val="009F2824"/>
    <w:rsid w:val="009F29E2"/>
    <w:rsid w:val="009F3337"/>
    <w:rsid w:val="009F48D2"/>
    <w:rsid w:val="009F50DA"/>
    <w:rsid w:val="009F6096"/>
    <w:rsid w:val="009F637E"/>
    <w:rsid w:val="009F6879"/>
    <w:rsid w:val="009F6D28"/>
    <w:rsid w:val="009F700D"/>
    <w:rsid w:val="009F7125"/>
    <w:rsid w:val="009F72EE"/>
    <w:rsid w:val="009F7BB6"/>
    <w:rsid w:val="00A003E4"/>
    <w:rsid w:val="00A0151B"/>
    <w:rsid w:val="00A0173C"/>
    <w:rsid w:val="00A0176E"/>
    <w:rsid w:val="00A0191E"/>
    <w:rsid w:val="00A01F7D"/>
    <w:rsid w:val="00A02FE6"/>
    <w:rsid w:val="00A04B75"/>
    <w:rsid w:val="00A04FE8"/>
    <w:rsid w:val="00A05B44"/>
    <w:rsid w:val="00A05D1E"/>
    <w:rsid w:val="00A069FD"/>
    <w:rsid w:val="00A06AE2"/>
    <w:rsid w:val="00A06C7A"/>
    <w:rsid w:val="00A06FA0"/>
    <w:rsid w:val="00A07A97"/>
    <w:rsid w:val="00A1001F"/>
    <w:rsid w:val="00A10F36"/>
    <w:rsid w:val="00A110C2"/>
    <w:rsid w:val="00A12537"/>
    <w:rsid w:val="00A12558"/>
    <w:rsid w:val="00A12BD4"/>
    <w:rsid w:val="00A132C0"/>
    <w:rsid w:val="00A141C2"/>
    <w:rsid w:val="00A14608"/>
    <w:rsid w:val="00A14F22"/>
    <w:rsid w:val="00A1514A"/>
    <w:rsid w:val="00A155FF"/>
    <w:rsid w:val="00A16751"/>
    <w:rsid w:val="00A16898"/>
    <w:rsid w:val="00A16BB4"/>
    <w:rsid w:val="00A17D8C"/>
    <w:rsid w:val="00A20C76"/>
    <w:rsid w:val="00A20D1C"/>
    <w:rsid w:val="00A2107C"/>
    <w:rsid w:val="00A2220F"/>
    <w:rsid w:val="00A2238E"/>
    <w:rsid w:val="00A22BFC"/>
    <w:rsid w:val="00A2319E"/>
    <w:rsid w:val="00A23595"/>
    <w:rsid w:val="00A2359C"/>
    <w:rsid w:val="00A2379E"/>
    <w:rsid w:val="00A238D2"/>
    <w:rsid w:val="00A24461"/>
    <w:rsid w:val="00A248E0"/>
    <w:rsid w:val="00A2547F"/>
    <w:rsid w:val="00A2711A"/>
    <w:rsid w:val="00A302B9"/>
    <w:rsid w:val="00A30460"/>
    <w:rsid w:val="00A3069D"/>
    <w:rsid w:val="00A30973"/>
    <w:rsid w:val="00A3099C"/>
    <w:rsid w:val="00A316EA"/>
    <w:rsid w:val="00A31ABF"/>
    <w:rsid w:val="00A32882"/>
    <w:rsid w:val="00A32F68"/>
    <w:rsid w:val="00A348D3"/>
    <w:rsid w:val="00A348F5"/>
    <w:rsid w:val="00A34C99"/>
    <w:rsid w:val="00A355B0"/>
    <w:rsid w:val="00A35612"/>
    <w:rsid w:val="00A3605A"/>
    <w:rsid w:val="00A365F9"/>
    <w:rsid w:val="00A3671D"/>
    <w:rsid w:val="00A3689C"/>
    <w:rsid w:val="00A374AF"/>
    <w:rsid w:val="00A379F5"/>
    <w:rsid w:val="00A4050B"/>
    <w:rsid w:val="00A41196"/>
    <w:rsid w:val="00A411CA"/>
    <w:rsid w:val="00A41695"/>
    <w:rsid w:val="00A4188B"/>
    <w:rsid w:val="00A422B0"/>
    <w:rsid w:val="00A42506"/>
    <w:rsid w:val="00A425A9"/>
    <w:rsid w:val="00A425AE"/>
    <w:rsid w:val="00A4293C"/>
    <w:rsid w:val="00A430D1"/>
    <w:rsid w:val="00A431C7"/>
    <w:rsid w:val="00A4334C"/>
    <w:rsid w:val="00A44092"/>
    <w:rsid w:val="00A44716"/>
    <w:rsid w:val="00A44938"/>
    <w:rsid w:val="00A44D7B"/>
    <w:rsid w:val="00A44DB6"/>
    <w:rsid w:val="00A4522B"/>
    <w:rsid w:val="00A4563A"/>
    <w:rsid w:val="00A45E7D"/>
    <w:rsid w:val="00A46215"/>
    <w:rsid w:val="00A46B29"/>
    <w:rsid w:val="00A471E2"/>
    <w:rsid w:val="00A47406"/>
    <w:rsid w:val="00A475BF"/>
    <w:rsid w:val="00A47804"/>
    <w:rsid w:val="00A47933"/>
    <w:rsid w:val="00A47A2B"/>
    <w:rsid w:val="00A504CD"/>
    <w:rsid w:val="00A50A37"/>
    <w:rsid w:val="00A5136B"/>
    <w:rsid w:val="00A517EF"/>
    <w:rsid w:val="00A520D7"/>
    <w:rsid w:val="00A52129"/>
    <w:rsid w:val="00A52198"/>
    <w:rsid w:val="00A523B0"/>
    <w:rsid w:val="00A52400"/>
    <w:rsid w:val="00A524A9"/>
    <w:rsid w:val="00A5295E"/>
    <w:rsid w:val="00A53A33"/>
    <w:rsid w:val="00A53DB0"/>
    <w:rsid w:val="00A543C8"/>
    <w:rsid w:val="00A548D0"/>
    <w:rsid w:val="00A55D9D"/>
    <w:rsid w:val="00A5631C"/>
    <w:rsid w:val="00A57657"/>
    <w:rsid w:val="00A57C1F"/>
    <w:rsid w:val="00A57C26"/>
    <w:rsid w:val="00A57EA4"/>
    <w:rsid w:val="00A60183"/>
    <w:rsid w:val="00A61046"/>
    <w:rsid w:val="00A6109F"/>
    <w:rsid w:val="00A61B16"/>
    <w:rsid w:val="00A61C2E"/>
    <w:rsid w:val="00A62FA8"/>
    <w:rsid w:val="00A6441A"/>
    <w:rsid w:val="00A64FE1"/>
    <w:rsid w:val="00A659A6"/>
    <w:rsid w:val="00A65A3C"/>
    <w:rsid w:val="00A66079"/>
    <w:rsid w:val="00A661B6"/>
    <w:rsid w:val="00A66338"/>
    <w:rsid w:val="00A66B0A"/>
    <w:rsid w:val="00A67246"/>
    <w:rsid w:val="00A71462"/>
    <w:rsid w:val="00A7175F"/>
    <w:rsid w:val="00A71FE2"/>
    <w:rsid w:val="00A72257"/>
    <w:rsid w:val="00A726ED"/>
    <w:rsid w:val="00A72BE8"/>
    <w:rsid w:val="00A73A36"/>
    <w:rsid w:val="00A73C9B"/>
    <w:rsid w:val="00A74396"/>
    <w:rsid w:val="00A74443"/>
    <w:rsid w:val="00A7465D"/>
    <w:rsid w:val="00A750F2"/>
    <w:rsid w:val="00A7579F"/>
    <w:rsid w:val="00A75814"/>
    <w:rsid w:val="00A75C26"/>
    <w:rsid w:val="00A75DBD"/>
    <w:rsid w:val="00A75DF7"/>
    <w:rsid w:val="00A76901"/>
    <w:rsid w:val="00A77685"/>
    <w:rsid w:val="00A77FD2"/>
    <w:rsid w:val="00A77FD4"/>
    <w:rsid w:val="00A8097D"/>
    <w:rsid w:val="00A80F8F"/>
    <w:rsid w:val="00A814A6"/>
    <w:rsid w:val="00A8185E"/>
    <w:rsid w:val="00A81A56"/>
    <w:rsid w:val="00A81C33"/>
    <w:rsid w:val="00A8239B"/>
    <w:rsid w:val="00A82F68"/>
    <w:rsid w:val="00A83E1A"/>
    <w:rsid w:val="00A851CD"/>
    <w:rsid w:val="00A85EFE"/>
    <w:rsid w:val="00A860B6"/>
    <w:rsid w:val="00A86A45"/>
    <w:rsid w:val="00A86D84"/>
    <w:rsid w:val="00A877B6"/>
    <w:rsid w:val="00A909F2"/>
    <w:rsid w:val="00A90B1A"/>
    <w:rsid w:val="00A90E3A"/>
    <w:rsid w:val="00A91A08"/>
    <w:rsid w:val="00A9222A"/>
    <w:rsid w:val="00A938E3"/>
    <w:rsid w:val="00A93907"/>
    <w:rsid w:val="00A93CAF"/>
    <w:rsid w:val="00A94492"/>
    <w:rsid w:val="00A9480C"/>
    <w:rsid w:val="00A9529A"/>
    <w:rsid w:val="00A95BC6"/>
    <w:rsid w:val="00A95CF6"/>
    <w:rsid w:val="00A95E46"/>
    <w:rsid w:val="00A95F95"/>
    <w:rsid w:val="00A963B4"/>
    <w:rsid w:val="00A96AB0"/>
    <w:rsid w:val="00A96DBB"/>
    <w:rsid w:val="00A9771B"/>
    <w:rsid w:val="00AA0DB5"/>
    <w:rsid w:val="00AA0F0F"/>
    <w:rsid w:val="00AA11D3"/>
    <w:rsid w:val="00AA2754"/>
    <w:rsid w:val="00AA31CA"/>
    <w:rsid w:val="00AA3527"/>
    <w:rsid w:val="00AA3840"/>
    <w:rsid w:val="00AA3D24"/>
    <w:rsid w:val="00AA440D"/>
    <w:rsid w:val="00AA47FA"/>
    <w:rsid w:val="00AA497C"/>
    <w:rsid w:val="00AA5604"/>
    <w:rsid w:val="00AA6AFC"/>
    <w:rsid w:val="00AA742E"/>
    <w:rsid w:val="00AA780D"/>
    <w:rsid w:val="00AA7F1D"/>
    <w:rsid w:val="00AB0444"/>
    <w:rsid w:val="00AB0936"/>
    <w:rsid w:val="00AB1DB9"/>
    <w:rsid w:val="00AB2CF0"/>
    <w:rsid w:val="00AB337F"/>
    <w:rsid w:val="00AB3B0E"/>
    <w:rsid w:val="00AB4231"/>
    <w:rsid w:val="00AB4574"/>
    <w:rsid w:val="00AB4595"/>
    <w:rsid w:val="00AB4B87"/>
    <w:rsid w:val="00AB52CF"/>
    <w:rsid w:val="00AB5D53"/>
    <w:rsid w:val="00AB6126"/>
    <w:rsid w:val="00AB622B"/>
    <w:rsid w:val="00AB6D53"/>
    <w:rsid w:val="00AC0402"/>
    <w:rsid w:val="00AC06D5"/>
    <w:rsid w:val="00AC106F"/>
    <w:rsid w:val="00AC1865"/>
    <w:rsid w:val="00AC1F94"/>
    <w:rsid w:val="00AC20A3"/>
    <w:rsid w:val="00AC2326"/>
    <w:rsid w:val="00AC2353"/>
    <w:rsid w:val="00AC358A"/>
    <w:rsid w:val="00AC375C"/>
    <w:rsid w:val="00AC3B76"/>
    <w:rsid w:val="00AC40B6"/>
    <w:rsid w:val="00AC5F3E"/>
    <w:rsid w:val="00AC6AB9"/>
    <w:rsid w:val="00AC78B6"/>
    <w:rsid w:val="00AC7B10"/>
    <w:rsid w:val="00AC7EF8"/>
    <w:rsid w:val="00AD04A6"/>
    <w:rsid w:val="00AD0704"/>
    <w:rsid w:val="00AD0AA2"/>
    <w:rsid w:val="00AD0D03"/>
    <w:rsid w:val="00AD0FFD"/>
    <w:rsid w:val="00AD138E"/>
    <w:rsid w:val="00AD19FB"/>
    <w:rsid w:val="00AD2093"/>
    <w:rsid w:val="00AD2DF6"/>
    <w:rsid w:val="00AD3E02"/>
    <w:rsid w:val="00AD4152"/>
    <w:rsid w:val="00AD4D36"/>
    <w:rsid w:val="00AD510F"/>
    <w:rsid w:val="00AD55D3"/>
    <w:rsid w:val="00AD57C2"/>
    <w:rsid w:val="00AD5DE0"/>
    <w:rsid w:val="00AD5E97"/>
    <w:rsid w:val="00AD6342"/>
    <w:rsid w:val="00AD6352"/>
    <w:rsid w:val="00AD6CBA"/>
    <w:rsid w:val="00AE031A"/>
    <w:rsid w:val="00AE05AC"/>
    <w:rsid w:val="00AE14C1"/>
    <w:rsid w:val="00AE2025"/>
    <w:rsid w:val="00AE23F2"/>
    <w:rsid w:val="00AE2471"/>
    <w:rsid w:val="00AE2D74"/>
    <w:rsid w:val="00AE31F0"/>
    <w:rsid w:val="00AE3B25"/>
    <w:rsid w:val="00AE3BFF"/>
    <w:rsid w:val="00AE3F84"/>
    <w:rsid w:val="00AE4620"/>
    <w:rsid w:val="00AE4A47"/>
    <w:rsid w:val="00AE4C64"/>
    <w:rsid w:val="00AE4CC8"/>
    <w:rsid w:val="00AE503C"/>
    <w:rsid w:val="00AE57DC"/>
    <w:rsid w:val="00AE60D8"/>
    <w:rsid w:val="00AE6939"/>
    <w:rsid w:val="00AE7A18"/>
    <w:rsid w:val="00AE7AA1"/>
    <w:rsid w:val="00AE7E20"/>
    <w:rsid w:val="00AE7E76"/>
    <w:rsid w:val="00AE7E97"/>
    <w:rsid w:val="00AF1AFF"/>
    <w:rsid w:val="00AF1C53"/>
    <w:rsid w:val="00AF1F31"/>
    <w:rsid w:val="00AF2B3E"/>
    <w:rsid w:val="00AF2E5D"/>
    <w:rsid w:val="00AF37E7"/>
    <w:rsid w:val="00AF4A68"/>
    <w:rsid w:val="00AF53D4"/>
    <w:rsid w:val="00AF61B2"/>
    <w:rsid w:val="00AF6434"/>
    <w:rsid w:val="00AF74E9"/>
    <w:rsid w:val="00B00D9E"/>
    <w:rsid w:val="00B0118E"/>
    <w:rsid w:val="00B01F2F"/>
    <w:rsid w:val="00B0298D"/>
    <w:rsid w:val="00B03007"/>
    <w:rsid w:val="00B034FB"/>
    <w:rsid w:val="00B03F2B"/>
    <w:rsid w:val="00B0422B"/>
    <w:rsid w:val="00B04437"/>
    <w:rsid w:val="00B04D0D"/>
    <w:rsid w:val="00B050B1"/>
    <w:rsid w:val="00B058FA"/>
    <w:rsid w:val="00B05991"/>
    <w:rsid w:val="00B0599F"/>
    <w:rsid w:val="00B06348"/>
    <w:rsid w:val="00B06419"/>
    <w:rsid w:val="00B06C5E"/>
    <w:rsid w:val="00B070AE"/>
    <w:rsid w:val="00B07311"/>
    <w:rsid w:val="00B07328"/>
    <w:rsid w:val="00B07400"/>
    <w:rsid w:val="00B07931"/>
    <w:rsid w:val="00B10231"/>
    <w:rsid w:val="00B10412"/>
    <w:rsid w:val="00B10D4C"/>
    <w:rsid w:val="00B10D90"/>
    <w:rsid w:val="00B10F30"/>
    <w:rsid w:val="00B10F44"/>
    <w:rsid w:val="00B119F6"/>
    <w:rsid w:val="00B12B22"/>
    <w:rsid w:val="00B12F53"/>
    <w:rsid w:val="00B13B06"/>
    <w:rsid w:val="00B14079"/>
    <w:rsid w:val="00B140FB"/>
    <w:rsid w:val="00B1420C"/>
    <w:rsid w:val="00B142A4"/>
    <w:rsid w:val="00B14310"/>
    <w:rsid w:val="00B1438F"/>
    <w:rsid w:val="00B147D0"/>
    <w:rsid w:val="00B14A76"/>
    <w:rsid w:val="00B14EBA"/>
    <w:rsid w:val="00B15113"/>
    <w:rsid w:val="00B15A96"/>
    <w:rsid w:val="00B16929"/>
    <w:rsid w:val="00B16E3F"/>
    <w:rsid w:val="00B16F3D"/>
    <w:rsid w:val="00B1727A"/>
    <w:rsid w:val="00B17C9E"/>
    <w:rsid w:val="00B17CB4"/>
    <w:rsid w:val="00B207EE"/>
    <w:rsid w:val="00B20869"/>
    <w:rsid w:val="00B2087B"/>
    <w:rsid w:val="00B20A8D"/>
    <w:rsid w:val="00B20F95"/>
    <w:rsid w:val="00B212E0"/>
    <w:rsid w:val="00B214F2"/>
    <w:rsid w:val="00B22572"/>
    <w:rsid w:val="00B2270E"/>
    <w:rsid w:val="00B233F5"/>
    <w:rsid w:val="00B24026"/>
    <w:rsid w:val="00B245E0"/>
    <w:rsid w:val="00B248AE"/>
    <w:rsid w:val="00B24FAC"/>
    <w:rsid w:val="00B2743B"/>
    <w:rsid w:val="00B27501"/>
    <w:rsid w:val="00B30755"/>
    <w:rsid w:val="00B3076A"/>
    <w:rsid w:val="00B30988"/>
    <w:rsid w:val="00B30EED"/>
    <w:rsid w:val="00B31400"/>
    <w:rsid w:val="00B31C24"/>
    <w:rsid w:val="00B31E12"/>
    <w:rsid w:val="00B3266E"/>
    <w:rsid w:val="00B327DA"/>
    <w:rsid w:val="00B32B39"/>
    <w:rsid w:val="00B32DE3"/>
    <w:rsid w:val="00B33005"/>
    <w:rsid w:val="00B33298"/>
    <w:rsid w:val="00B34107"/>
    <w:rsid w:val="00B342DA"/>
    <w:rsid w:val="00B34448"/>
    <w:rsid w:val="00B34965"/>
    <w:rsid w:val="00B34BEA"/>
    <w:rsid w:val="00B34BFF"/>
    <w:rsid w:val="00B35165"/>
    <w:rsid w:val="00B359E9"/>
    <w:rsid w:val="00B367CF"/>
    <w:rsid w:val="00B376E8"/>
    <w:rsid w:val="00B377BF"/>
    <w:rsid w:val="00B37E99"/>
    <w:rsid w:val="00B40757"/>
    <w:rsid w:val="00B407D2"/>
    <w:rsid w:val="00B40B18"/>
    <w:rsid w:val="00B41A76"/>
    <w:rsid w:val="00B421B0"/>
    <w:rsid w:val="00B422A2"/>
    <w:rsid w:val="00B43038"/>
    <w:rsid w:val="00B4469F"/>
    <w:rsid w:val="00B452B2"/>
    <w:rsid w:val="00B45C31"/>
    <w:rsid w:val="00B45C8C"/>
    <w:rsid w:val="00B46F06"/>
    <w:rsid w:val="00B47D34"/>
    <w:rsid w:val="00B47E74"/>
    <w:rsid w:val="00B502B3"/>
    <w:rsid w:val="00B51667"/>
    <w:rsid w:val="00B51784"/>
    <w:rsid w:val="00B517CF"/>
    <w:rsid w:val="00B51E9A"/>
    <w:rsid w:val="00B53693"/>
    <w:rsid w:val="00B53713"/>
    <w:rsid w:val="00B53C4B"/>
    <w:rsid w:val="00B54084"/>
    <w:rsid w:val="00B54486"/>
    <w:rsid w:val="00B5451B"/>
    <w:rsid w:val="00B54A4A"/>
    <w:rsid w:val="00B54DA8"/>
    <w:rsid w:val="00B55845"/>
    <w:rsid w:val="00B56614"/>
    <w:rsid w:val="00B56755"/>
    <w:rsid w:val="00B568B1"/>
    <w:rsid w:val="00B57085"/>
    <w:rsid w:val="00B571DD"/>
    <w:rsid w:val="00B57C83"/>
    <w:rsid w:val="00B57CB2"/>
    <w:rsid w:val="00B601ED"/>
    <w:rsid w:val="00B606BD"/>
    <w:rsid w:val="00B60F40"/>
    <w:rsid w:val="00B6181A"/>
    <w:rsid w:val="00B61BD5"/>
    <w:rsid w:val="00B61CD3"/>
    <w:rsid w:val="00B63052"/>
    <w:rsid w:val="00B63273"/>
    <w:rsid w:val="00B6421A"/>
    <w:rsid w:val="00B65CFF"/>
    <w:rsid w:val="00B66025"/>
    <w:rsid w:val="00B66493"/>
    <w:rsid w:val="00B666EB"/>
    <w:rsid w:val="00B6704D"/>
    <w:rsid w:val="00B67083"/>
    <w:rsid w:val="00B677D9"/>
    <w:rsid w:val="00B701F1"/>
    <w:rsid w:val="00B70526"/>
    <w:rsid w:val="00B706FC"/>
    <w:rsid w:val="00B707C5"/>
    <w:rsid w:val="00B70830"/>
    <w:rsid w:val="00B71C3B"/>
    <w:rsid w:val="00B72546"/>
    <w:rsid w:val="00B726C7"/>
    <w:rsid w:val="00B72D66"/>
    <w:rsid w:val="00B737F7"/>
    <w:rsid w:val="00B7384D"/>
    <w:rsid w:val="00B73C9E"/>
    <w:rsid w:val="00B73E80"/>
    <w:rsid w:val="00B74843"/>
    <w:rsid w:val="00B74E07"/>
    <w:rsid w:val="00B754AB"/>
    <w:rsid w:val="00B755CF"/>
    <w:rsid w:val="00B757C8"/>
    <w:rsid w:val="00B75DA7"/>
    <w:rsid w:val="00B76084"/>
    <w:rsid w:val="00B7621C"/>
    <w:rsid w:val="00B764F5"/>
    <w:rsid w:val="00B76744"/>
    <w:rsid w:val="00B76FF6"/>
    <w:rsid w:val="00B77B68"/>
    <w:rsid w:val="00B805DC"/>
    <w:rsid w:val="00B806F7"/>
    <w:rsid w:val="00B821EC"/>
    <w:rsid w:val="00B826C1"/>
    <w:rsid w:val="00B82C67"/>
    <w:rsid w:val="00B82D80"/>
    <w:rsid w:val="00B83893"/>
    <w:rsid w:val="00B83D27"/>
    <w:rsid w:val="00B83D7B"/>
    <w:rsid w:val="00B84A21"/>
    <w:rsid w:val="00B84F3D"/>
    <w:rsid w:val="00B851A3"/>
    <w:rsid w:val="00B85586"/>
    <w:rsid w:val="00B85AE1"/>
    <w:rsid w:val="00B87226"/>
    <w:rsid w:val="00B87550"/>
    <w:rsid w:val="00B8777F"/>
    <w:rsid w:val="00B87DC5"/>
    <w:rsid w:val="00B9000C"/>
    <w:rsid w:val="00B91259"/>
    <w:rsid w:val="00B915B5"/>
    <w:rsid w:val="00B91A03"/>
    <w:rsid w:val="00B92242"/>
    <w:rsid w:val="00B925C1"/>
    <w:rsid w:val="00B934FD"/>
    <w:rsid w:val="00B94926"/>
    <w:rsid w:val="00B94B91"/>
    <w:rsid w:val="00B94CE6"/>
    <w:rsid w:val="00B9536E"/>
    <w:rsid w:val="00B955E4"/>
    <w:rsid w:val="00B9577D"/>
    <w:rsid w:val="00B95833"/>
    <w:rsid w:val="00B95D95"/>
    <w:rsid w:val="00B95F43"/>
    <w:rsid w:val="00B9608E"/>
    <w:rsid w:val="00B960EB"/>
    <w:rsid w:val="00B96ECA"/>
    <w:rsid w:val="00B97B48"/>
    <w:rsid w:val="00B97E9D"/>
    <w:rsid w:val="00BA0D3C"/>
    <w:rsid w:val="00BA1648"/>
    <w:rsid w:val="00BA1E03"/>
    <w:rsid w:val="00BA22E5"/>
    <w:rsid w:val="00BA24E2"/>
    <w:rsid w:val="00BA286E"/>
    <w:rsid w:val="00BA2D7E"/>
    <w:rsid w:val="00BA3411"/>
    <w:rsid w:val="00BA3DF0"/>
    <w:rsid w:val="00BA3E27"/>
    <w:rsid w:val="00BA3FA4"/>
    <w:rsid w:val="00BA3FB1"/>
    <w:rsid w:val="00BA4A70"/>
    <w:rsid w:val="00BA4B6C"/>
    <w:rsid w:val="00BA4B96"/>
    <w:rsid w:val="00BA5C4D"/>
    <w:rsid w:val="00BA6482"/>
    <w:rsid w:val="00BA6B15"/>
    <w:rsid w:val="00BA6E16"/>
    <w:rsid w:val="00BA6F0D"/>
    <w:rsid w:val="00BA77D9"/>
    <w:rsid w:val="00BA7EE8"/>
    <w:rsid w:val="00BA7F32"/>
    <w:rsid w:val="00BB1B9E"/>
    <w:rsid w:val="00BB24E1"/>
    <w:rsid w:val="00BB27F5"/>
    <w:rsid w:val="00BB2826"/>
    <w:rsid w:val="00BB34C2"/>
    <w:rsid w:val="00BB48ED"/>
    <w:rsid w:val="00BB4C92"/>
    <w:rsid w:val="00BB5613"/>
    <w:rsid w:val="00BB5AF4"/>
    <w:rsid w:val="00BB6F71"/>
    <w:rsid w:val="00BB6FC4"/>
    <w:rsid w:val="00BB7031"/>
    <w:rsid w:val="00BB720D"/>
    <w:rsid w:val="00BB7492"/>
    <w:rsid w:val="00BC072A"/>
    <w:rsid w:val="00BC0F52"/>
    <w:rsid w:val="00BC1AFA"/>
    <w:rsid w:val="00BC2390"/>
    <w:rsid w:val="00BC2939"/>
    <w:rsid w:val="00BC3560"/>
    <w:rsid w:val="00BC3A6B"/>
    <w:rsid w:val="00BC4455"/>
    <w:rsid w:val="00BC501A"/>
    <w:rsid w:val="00BC5F6B"/>
    <w:rsid w:val="00BC7641"/>
    <w:rsid w:val="00BC77F9"/>
    <w:rsid w:val="00BC797F"/>
    <w:rsid w:val="00BC7FDA"/>
    <w:rsid w:val="00BD0C05"/>
    <w:rsid w:val="00BD1517"/>
    <w:rsid w:val="00BD1DD1"/>
    <w:rsid w:val="00BD2743"/>
    <w:rsid w:val="00BD2781"/>
    <w:rsid w:val="00BD28DD"/>
    <w:rsid w:val="00BD2EC2"/>
    <w:rsid w:val="00BD303E"/>
    <w:rsid w:val="00BD3847"/>
    <w:rsid w:val="00BD40A3"/>
    <w:rsid w:val="00BD43E1"/>
    <w:rsid w:val="00BD482D"/>
    <w:rsid w:val="00BD4E27"/>
    <w:rsid w:val="00BD51B3"/>
    <w:rsid w:val="00BD51C9"/>
    <w:rsid w:val="00BD5479"/>
    <w:rsid w:val="00BD5E8F"/>
    <w:rsid w:val="00BD6132"/>
    <w:rsid w:val="00BD6A0F"/>
    <w:rsid w:val="00BD6AA2"/>
    <w:rsid w:val="00BD6C85"/>
    <w:rsid w:val="00BD6DE4"/>
    <w:rsid w:val="00BD6F48"/>
    <w:rsid w:val="00BD72EF"/>
    <w:rsid w:val="00BD76B6"/>
    <w:rsid w:val="00BD79B5"/>
    <w:rsid w:val="00BD7F76"/>
    <w:rsid w:val="00BE0A66"/>
    <w:rsid w:val="00BE2849"/>
    <w:rsid w:val="00BE3186"/>
    <w:rsid w:val="00BE31B3"/>
    <w:rsid w:val="00BE33C7"/>
    <w:rsid w:val="00BE4436"/>
    <w:rsid w:val="00BE4CA1"/>
    <w:rsid w:val="00BE4E87"/>
    <w:rsid w:val="00BE5709"/>
    <w:rsid w:val="00BE584E"/>
    <w:rsid w:val="00BE5ADE"/>
    <w:rsid w:val="00BE635D"/>
    <w:rsid w:val="00BE6683"/>
    <w:rsid w:val="00BE6917"/>
    <w:rsid w:val="00BE6972"/>
    <w:rsid w:val="00BE6B7F"/>
    <w:rsid w:val="00BE6F09"/>
    <w:rsid w:val="00BE7905"/>
    <w:rsid w:val="00BE7B52"/>
    <w:rsid w:val="00BF05E3"/>
    <w:rsid w:val="00BF06DA"/>
    <w:rsid w:val="00BF0D8D"/>
    <w:rsid w:val="00BF0F95"/>
    <w:rsid w:val="00BF2208"/>
    <w:rsid w:val="00BF2DBE"/>
    <w:rsid w:val="00BF3028"/>
    <w:rsid w:val="00BF3AF0"/>
    <w:rsid w:val="00BF3C03"/>
    <w:rsid w:val="00BF5444"/>
    <w:rsid w:val="00BF590A"/>
    <w:rsid w:val="00BF6396"/>
    <w:rsid w:val="00BF6B0B"/>
    <w:rsid w:val="00BF6F48"/>
    <w:rsid w:val="00BF6F5B"/>
    <w:rsid w:val="00BF7D7B"/>
    <w:rsid w:val="00C003A5"/>
    <w:rsid w:val="00C0128C"/>
    <w:rsid w:val="00C0190B"/>
    <w:rsid w:val="00C02644"/>
    <w:rsid w:val="00C02BBF"/>
    <w:rsid w:val="00C031CA"/>
    <w:rsid w:val="00C032A8"/>
    <w:rsid w:val="00C03687"/>
    <w:rsid w:val="00C0368E"/>
    <w:rsid w:val="00C03C47"/>
    <w:rsid w:val="00C0421A"/>
    <w:rsid w:val="00C04345"/>
    <w:rsid w:val="00C0441C"/>
    <w:rsid w:val="00C044F2"/>
    <w:rsid w:val="00C04638"/>
    <w:rsid w:val="00C04778"/>
    <w:rsid w:val="00C04A99"/>
    <w:rsid w:val="00C052E9"/>
    <w:rsid w:val="00C0601C"/>
    <w:rsid w:val="00C060FB"/>
    <w:rsid w:val="00C061C8"/>
    <w:rsid w:val="00C066E4"/>
    <w:rsid w:val="00C06A0B"/>
    <w:rsid w:val="00C073DE"/>
    <w:rsid w:val="00C07574"/>
    <w:rsid w:val="00C10142"/>
    <w:rsid w:val="00C109B8"/>
    <w:rsid w:val="00C10FF2"/>
    <w:rsid w:val="00C118DF"/>
    <w:rsid w:val="00C11AC2"/>
    <w:rsid w:val="00C12205"/>
    <w:rsid w:val="00C12337"/>
    <w:rsid w:val="00C126A3"/>
    <w:rsid w:val="00C12837"/>
    <w:rsid w:val="00C14D99"/>
    <w:rsid w:val="00C158B2"/>
    <w:rsid w:val="00C15F56"/>
    <w:rsid w:val="00C15FBE"/>
    <w:rsid w:val="00C1613E"/>
    <w:rsid w:val="00C16B44"/>
    <w:rsid w:val="00C16C87"/>
    <w:rsid w:val="00C17061"/>
    <w:rsid w:val="00C17A9E"/>
    <w:rsid w:val="00C201AF"/>
    <w:rsid w:val="00C20369"/>
    <w:rsid w:val="00C205CB"/>
    <w:rsid w:val="00C20BE8"/>
    <w:rsid w:val="00C20CC7"/>
    <w:rsid w:val="00C20DA8"/>
    <w:rsid w:val="00C2126C"/>
    <w:rsid w:val="00C221E9"/>
    <w:rsid w:val="00C2274A"/>
    <w:rsid w:val="00C22F62"/>
    <w:rsid w:val="00C23C01"/>
    <w:rsid w:val="00C23E1A"/>
    <w:rsid w:val="00C24648"/>
    <w:rsid w:val="00C24710"/>
    <w:rsid w:val="00C24880"/>
    <w:rsid w:val="00C27BD5"/>
    <w:rsid w:val="00C30277"/>
    <w:rsid w:val="00C30D6C"/>
    <w:rsid w:val="00C30EFC"/>
    <w:rsid w:val="00C31094"/>
    <w:rsid w:val="00C31DC4"/>
    <w:rsid w:val="00C33125"/>
    <w:rsid w:val="00C33167"/>
    <w:rsid w:val="00C34315"/>
    <w:rsid w:val="00C349BE"/>
    <w:rsid w:val="00C35712"/>
    <w:rsid w:val="00C357C0"/>
    <w:rsid w:val="00C35C91"/>
    <w:rsid w:val="00C360C7"/>
    <w:rsid w:val="00C36A1E"/>
    <w:rsid w:val="00C370C5"/>
    <w:rsid w:val="00C378F1"/>
    <w:rsid w:val="00C37922"/>
    <w:rsid w:val="00C40531"/>
    <w:rsid w:val="00C4131A"/>
    <w:rsid w:val="00C4136B"/>
    <w:rsid w:val="00C4184C"/>
    <w:rsid w:val="00C4422C"/>
    <w:rsid w:val="00C44281"/>
    <w:rsid w:val="00C444A5"/>
    <w:rsid w:val="00C444D2"/>
    <w:rsid w:val="00C4479B"/>
    <w:rsid w:val="00C45FF8"/>
    <w:rsid w:val="00C47622"/>
    <w:rsid w:val="00C47E22"/>
    <w:rsid w:val="00C508F6"/>
    <w:rsid w:val="00C50CFD"/>
    <w:rsid w:val="00C51150"/>
    <w:rsid w:val="00C52C7C"/>
    <w:rsid w:val="00C52FDC"/>
    <w:rsid w:val="00C54425"/>
    <w:rsid w:val="00C54FD3"/>
    <w:rsid w:val="00C55B76"/>
    <w:rsid w:val="00C55F11"/>
    <w:rsid w:val="00C567C8"/>
    <w:rsid w:val="00C56948"/>
    <w:rsid w:val="00C57743"/>
    <w:rsid w:val="00C6032E"/>
    <w:rsid w:val="00C60D14"/>
    <w:rsid w:val="00C60F43"/>
    <w:rsid w:val="00C6157D"/>
    <w:rsid w:val="00C619A5"/>
    <w:rsid w:val="00C61DD9"/>
    <w:rsid w:val="00C61F6D"/>
    <w:rsid w:val="00C628E7"/>
    <w:rsid w:val="00C64196"/>
    <w:rsid w:val="00C6434B"/>
    <w:rsid w:val="00C6568B"/>
    <w:rsid w:val="00C660FF"/>
    <w:rsid w:val="00C6689C"/>
    <w:rsid w:val="00C66948"/>
    <w:rsid w:val="00C674E1"/>
    <w:rsid w:val="00C7084E"/>
    <w:rsid w:val="00C70875"/>
    <w:rsid w:val="00C70B59"/>
    <w:rsid w:val="00C70FFF"/>
    <w:rsid w:val="00C71152"/>
    <w:rsid w:val="00C7153C"/>
    <w:rsid w:val="00C71EBE"/>
    <w:rsid w:val="00C72068"/>
    <w:rsid w:val="00C727F1"/>
    <w:rsid w:val="00C72BCE"/>
    <w:rsid w:val="00C74437"/>
    <w:rsid w:val="00C745CF"/>
    <w:rsid w:val="00C75070"/>
    <w:rsid w:val="00C755BA"/>
    <w:rsid w:val="00C75B9B"/>
    <w:rsid w:val="00C768B0"/>
    <w:rsid w:val="00C774E9"/>
    <w:rsid w:val="00C801AE"/>
    <w:rsid w:val="00C806DA"/>
    <w:rsid w:val="00C808F2"/>
    <w:rsid w:val="00C80C2E"/>
    <w:rsid w:val="00C80C61"/>
    <w:rsid w:val="00C8178C"/>
    <w:rsid w:val="00C817AA"/>
    <w:rsid w:val="00C81810"/>
    <w:rsid w:val="00C82900"/>
    <w:rsid w:val="00C82E26"/>
    <w:rsid w:val="00C83221"/>
    <w:rsid w:val="00C833D0"/>
    <w:rsid w:val="00C834A3"/>
    <w:rsid w:val="00C83B5A"/>
    <w:rsid w:val="00C83D89"/>
    <w:rsid w:val="00C83FCA"/>
    <w:rsid w:val="00C84701"/>
    <w:rsid w:val="00C84EF3"/>
    <w:rsid w:val="00C854D1"/>
    <w:rsid w:val="00C87296"/>
    <w:rsid w:val="00C87965"/>
    <w:rsid w:val="00C879BF"/>
    <w:rsid w:val="00C9042D"/>
    <w:rsid w:val="00C90842"/>
    <w:rsid w:val="00C91264"/>
    <w:rsid w:val="00C9194B"/>
    <w:rsid w:val="00C91ABE"/>
    <w:rsid w:val="00C9236E"/>
    <w:rsid w:val="00C923E2"/>
    <w:rsid w:val="00C923EC"/>
    <w:rsid w:val="00C92E4B"/>
    <w:rsid w:val="00C949EB"/>
    <w:rsid w:val="00C94F3E"/>
    <w:rsid w:val="00C95364"/>
    <w:rsid w:val="00C958DE"/>
    <w:rsid w:val="00C96184"/>
    <w:rsid w:val="00C97FD5"/>
    <w:rsid w:val="00CA05A3"/>
    <w:rsid w:val="00CA05E0"/>
    <w:rsid w:val="00CA2984"/>
    <w:rsid w:val="00CA3064"/>
    <w:rsid w:val="00CA32A0"/>
    <w:rsid w:val="00CA3F0E"/>
    <w:rsid w:val="00CA4044"/>
    <w:rsid w:val="00CA452D"/>
    <w:rsid w:val="00CA479F"/>
    <w:rsid w:val="00CA5E49"/>
    <w:rsid w:val="00CA656A"/>
    <w:rsid w:val="00CA6F0E"/>
    <w:rsid w:val="00CA79F4"/>
    <w:rsid w:val="00CA7DAD"/>
    <w:rsid w:val="00CB0747"/>
    <w:rsid w:val="00CB09B0"/>
    <w:rsid w:val="00CB0A0B"/>
    <w:rsid w:val="00CB11B5"/>
    <w:rsid w:val="00CB1BFC"/>
    <w:rsid w:val="00CB265C"/>
    <w:rsid w:val="00CB29BB"/>
    <w:rsid w:val="00CB34CD"/>
    <w:rsid w:val="00CB49AC"/>
    <w:rsid w:val="00CB4EC2"/>
    <w:rsid w:val="00CB5102"/>
    <w:rsid w:val="00CB56E1"/>
    <w:rsid w:val="00CB6881"/>
    <w:rsid w:val="00CB6C96"/>
    <w:rsid w:val="00CB7052"/>
    <w:rsid w:val="00CB70FF"/>
    <w:rsid w:val="00CB7315"/>
    <w:rsid w:val="00CC005B"/>
    <w:rsid w:val="00CC013E"/>
    <w:rsid w:val="00CC064E"/>
    <w:rsid w:val="00CC08D6"/>
    <w:rsid w:val="00CC142F"/>
    <w:rsid w:val="00CC16E5"/>
    <w:rsid w:val="00CC2434"/>
    <w:rsid w:val="00CC364C"/>
    <w:rsid w:val="00CC5508"/>
    <w:rsid w:val="00CC5AC9"/>
    <w:rsid w:val="00CC5ADD"/>
    <w:rsid w:val="00CC5C86"/>
    <w:rsid w:val="00CC5CFF"/>
    <w:rsid w:val="00CC5E60"/>
    <w:rsid w:val="00CC60B1"/>
    <w:rsid w:val="00CC6DED"/>
    <w:rsid w:val="00CC7745"/>
    <w:rsid w:val="00CD0116"/>
    <w:rsid w:val="00CD1492"/>
    <w:rsid w:val="00CD1FF6"/>
    <w:rsid w:val="00CD20C1"/>
    <w:rsid w:val="00CD224D"/>
    <w:rsid w:val="00CD26D4"/>
    <w:rsid w:val="00CD351E"/>
    <w:rsid w:val="00CD3873"/>
    <w:rsid w:val="00CD5563"/>
    <w:rsid w:val="00CD5733"/>
    <w:rsid w:val="00CD6008"/>
    <w:rsid w:val="00CD6156"/>
    <w:rsid w:val="00CD6402"/>
    <w:rsid w:val="00CD657C"/>
    <w:rsid w:val="00CD681D"/>
    <w:rsid w:val="00CD6DAE"/>
    <w:rsid w:val="00CD720B"/>
    <w:rsid w:val="00CD743D"/>
    <w:rsid w:val="00CE0C37"/>
    <w:rsid w:val="00CE1C6E"/>
    <w:rsid w:val="00CE1F62"/>
    <w:rsid w:val="00CE2476"/>
    <w:rsid w:val="00CE2813"/>
    <w:rsid w:val="00CE4025"/>
    <w:rsid w:val="00CE4322"/>
    <w:rsid w:val="00CE453E"/>
    <w:rsid w:val="00CE4910"/>
    <w:rsid w:val="00CE4C88"/>
    <w:rsid w:val="00CE5077"/>
    <w:rsid w:val="00CE5854"/>
    <w:rsid w:val="00CE5969"/>
    <w:rsid w:val="00CE597E"/>
    <w:rsid w:val="00CE5E5C"/>
    <w:rsid w:val="00CE66BC"/>
    <w:rsid w:val="00CE6828"/>
    <w:rsid w:val="00CE6940"/>
    <w:rsid w:val="00CF0764"/>
    <w:rsid w:val="00CF0BD8"/>
    <w:rsid w:val="00CF0BDB"/>
    <w:rsid w:val="00CF0DE9"/>
    <w:rsid w:val="00CF0FED"/>
    <w:rsid w:val="00CF10C7"/>
    <w:rsid w:val="00CF135B"/>
    <w:rsid w:val="00CF16B9"/>
    <w:rsid w:val="00CF2930"/>
    <w:rsid w:val="00CF386E"/>
    <w:rsid w:val="00CF4FA1"/>
    <w:rsid w:val="00CF5CA0"/>
    <w:rsid w:val="00CF617A"/>
    <w:rsid w:val="00CF61C4"/>
    <w:rsid w:val="00CF6614"/>
    <w:rsid w:val="00CF662B"/>
    <w:rsid w:val="00CF6F63"/>
    <w:rsid w:val="00CF722D"/>
    <w:rsid w:val="00CF7329"/>
    <w:rsid w:val="00CF7343"/>
    <w:rsid w:val="00CF755B"/>
    <w:rsid w:val="00D01765"/>
    <w:rsid w:val="00D02D1C"/>
    <w:rsid w:val="00D02F27"/>
    <w:rsid w:val="00D02F77"/>
    <w:rsid w:val="00D0343C"/>
    <w:rsid w:val="00D03692"/>
    <w:rsid w:val="00D042F8"/>
    <w:rsid w:val="00D04A98"/>
    <w:rsid w:val="00D04C1D"/>
    <w:rsid w:val="00D04D1B"/>
    <w:rsid w:val="00D052FB"/>
    <w:rsid w:val="00D0548E"/>
    <w:rsid w:val="00D0573D"/>
    <w:rsid w:val="00D06B6B"/>
    <w:rsid w:val="00D06E5B"/>
    <w:rsid w:val="00D0740E"/>
    <w:rsid w:val="00D0779E"/>
    <w:rsid w:val="00D07A79"/>
    <w:rsid w:val="00D07D55"/>
    <w:rsid w:val="00D1005B"/>
    <w:rsid w:val="00D10187"/>
    <w:rsid w:val="00D102AB"/>
    <w:rsid w:val="00D10694"/>
    <w:rsid w:val="00D10A8E"/>
    <w:rsid w:val="00D10AE0"/>
    <w:rsid w:val="00D10D0F"/>
    <w:rsid w:val="00D10F61"/>
    <w:rsid w:val="00D125BD"/>
    <w:rsid w:val="00D12E4F"/>
    <w:rsid w:val="00D12EB1"/>
    <w:rsid w:val="00D13246"/>
    <w:rsid w:val="00D136A9"/>
    <w:rsid w:val="00D13AFD"/>
    <w:rsid w:val="00D145C8"/>
    <w:rsid w:val="00D14CE8"/>
    <w:rsid w:val="00D1665A"/>
    <w:rsid w:val="00D16897"/>
    <w:rsid w:val="00D17861"/>
    <w:rsid w:val="00D203E7"/>
    <w:rsid w:val="00D2092A"/>
    <w:rsid w:val="00D20C14"/>
    <w:rsid w:val="00D20C79"/>
    <w:rsid w:val="00D20CB0"/>
    <w:rsid w:val="00D21A9B"/>
    <w:rsid w:val="00D21C59"/>
    <w:rsid w:val="00D21E4F"/>
    <w:rsid w:val="00D222C9"/>
    <w:rsid w:val="00D22806"/>
    <w:rsid w:val="00D22DAE"/>
    <w:rsid w:val="00D2357E"/>
    <w:rsid w:val="00D239A7"/>
    <w:rsid w:val="00D23A78"/>
    <w:rsid w:val="00D24262"/>
    <w:rsid w:val="00D24437"/>
    <w:rsid w:val="00D25257"/>
    <w:rsid w:val="00D259FD"/>
    <w:rsid w:val="00D25D98"/>
    <w:rsid w:val="00D26B6E"/>
    <w:rsid w:val="00D26E8B"/>
    <w:rsid w:val="00D27445"/>
    <w:rsid w:val="00D27862"/>
    <w:rsid w:val="00D27A59"/>
    <w:rsid w:val="00D30226"/>
    <w:rsid w:val="00D3188D"/>
    <w:rsid w:val="00D3253F"/>
    <w:rsid w:val="00D32A76"/>
    <w:rsid w:val="00D32B9D"/>
    <w:rsid w:val="00D32BDF"/>
    <w:rsid w:val="00D32FE0"/>
    <w:rsid w:val="00D330A6"/>
    <w:rsid w:val="00D342C7"/>
    <w:rsid w:val="00D346EC"/>
    <w:rsid w:val="00D34D0B"/>
    <w:rsid w:val="00D34EF0"/>
    <w:rsid w:val="00D35051"/>
    <w:rsid w:val="00D35C6E"/>
    <w:rsid w:val="00D362EB"/>
    <w:rsid w:val="00D36EAF"/>
    <w:rsid w:val="00D36F13"/>
    <w:rsid w:val="00D370E3"/>
    <w:rsid w:val="00D41C60"/>
    <w:rsid w:val="00D41C74"/>
    <w:rsid w:val="00D42939"/>
    <w:rsid w:val="00D43217"/>
    <w:rsid w:val="00D432D2"/>
    <w:rsid w:val="00D443D3"/>
    <w:rsid w:val="00D44DF9"/>
    <w:rsid w:val="00D454F0"/>
    <w:rsid w:val="00D45959"/>
    <w:rsid w:val="00D4597A"/>
    <w:rsid w:val="00D45A65"/>
    <w:rsid w:val="00D46465"/>
    <w:rsid w:val="00D46554"/>
    <w:rsid w:val="00D46848"/>
    <w:rsid w:val="00D4687A"/>
    <w:rsid w:val="00D46DDB"/>
    <w:rsid w:val="00D47CA8"/>
    <w:rsid w:val="00D501BE"/>
    <w:rsid w:val="00D50981"/>
    <w:rsid w:val="00D511D4"/>
    <w:rsid w:val="00D51AFC"/>
    <w:rsid w:val="00D51E29"/>
    <w:rsid w:val="00D51F85"/>
    <w:rsid w:val="00D5210B"/>
    <w:rsid w:val="00D53394"/>
    <w:rsid w:val="00D54A16"/>
    <w:rsid w:val="00D54A61"/>
    <w:rsid w:val="00D550BD"/>
    <w:rsid w:val="00D5562F"/>
    <w:rsid w:val="00D55AC0"/>
    <w:rsid w:val="00D55C09"/>
    <w:rsid w:val="00D55D85"/>
    <w:rsid w:val="00D56EB7"/>
    <w:rsid w:val="00D57005"/>
    <w:rsid w:val="00D576A4"/>
    <w:rsid w:val="00D578B6"/>
    <w:rsid w:val="00D619E6"/>
    <w:rsid w:val="00D61C3A"/>
    <w:rsid w:val="00D61DAC"/>
    <w:rsid w:val="00D6257D"/>
    <w:rsid w:val="00D627F7"/>
    <w:rsid w:val="00D63AA9"/>
    <w:rsid w:val="00D63AAC"/>
    <w:rsid w:val="00D63CA5"/>
    <w:rsid w:val="00D64152"/>
    <w:rsid w:val="00D657A3"/>
    <w:rsid w:val="00D65DB8"/>
    <w:rsid w:val="00D66349"/>
    <w:rsid w:val="00D665AD"/>
    <w:rsid w:val="00D67663"/>
    <w:rsid w:val="00D67733"/>
    <w:rsid w:val="00D677EE"/>
    <w:rsid w:val="00D67BF4"/>
    <w:rsid w:val="00D67C03"/>
    <w:rsid w:val="00D706DF"/>
    <w:rsid w:val="00D70B66"/>
    <w:rsid w:val="00D70C91"/>
    <w:rsid w:val="00D70EB4"/>
    <w:rsid w:val="00D70F37"/>
    <w:rsid w:val="00D71664"/>
    <w:rsid w:val="00D71CA2"/>
    <w:rsid w:val="00D71EB5"/>
    <w:rsid w:val="00D71F92"/>
    <w:rsid w:val="00D72365"/>
    <w:rsid w:val="00D730B4"/>
    <w:rsid w:val="00D7323E"/>
    <w:rsid w:val="00D733B5"/>
    <w:rsid w:val="00D733D5"/>
    <w:rsid w:val="00D735B9"/>
    <w:rsid w:val="00D73E6F"/>
    <w:rsid w:val="00D74A8C"/>
    <w:rsid w:val="00D74B8E"/>
    <w:rsid w:val="00D74CED"/>
    <w:rsid w:val="00D7549F"/>
    <w:rsid w:val="00D755FE"/>
    <w:rsid w:val="00D76115"/>
    <w:rsid w:val="00D7664F"/>
    <w:rsid w:val="00D76708"/>
    <w:rsid w:val="00D768C7"/>
    <w:rsid w:val="00D80946"/>
    <w:rsid w:val="00D809E9"/>
    <w:rsid w:val="00D80B0F"/>
    <w:rsid w:val="00D82AF2"/>
    <w:rsid w:val="00D838A7"/>
    <w:rsid w:val="00D84577"/>
    <w:rsid w:val="00D847E1"/>
    <w:rsid w:val="00D848BE"/>
    <w:rsid w:val="00D85500"/>
    <w:rsid w:val="00D85697"/>
    <w:rsid w:val="00D856F3"/>
    <w:rsid w:val="00D85D85"/>
    <w:rsid w:val="00D85DD6"/>
    <w:rsid w:val="00D86043"/>
    <w:rsid w:val="00D86073"/>
    <w:rsid w:val="00D8656A"/>
    <w:rsid w:val="00D8669B"/>
    <w:rsid w:val="00D86854"/>
    <w:rsid w:val="00D8689F"/>
    <w:rsid w:val="00D86AB1"/>
    <w:rsid w:val="00D86F2F"/>
    <w:rsid w:val="00D870A4"/>
    <w:rsid w:val="00D87554"/>
    <w:rsid w:val="00D904C6"/>
    <w:rsid w:val="00D91109"/>
    <w:rsid w:val="00D9121E"/>
    <w:rsid w:val="00D91750"/>
    <w:rsid w:val="00D91C18"/>
    <w:rsid w:val="00D91C52"/>
    <w:rsid w:val="00D91CC7"/>
    <w:rsid w:val="00D91F95"/>
    <w:rsid w:val="00D9207A"/>
    <w:rsid w:val="00D923F4"/>
    <w:rsid w:val="00D92745"/>
    <w:rsid w:val="00D93F86"/>
    <w:rsid w:val="00D93FAE"/>
    <w:rsid w:val="00D941F5"/>
    <w:rsid w:val="00D949DF"/>
    <w:rsid w:val="00D94B04"/>
    <w:rsid w:val="00D94CE1"/>
    <w:rsid w:val="00D9538D"/>
    <w:rsid w:val="00D95571"/>
    <w:rsid w:val="00D958B8"/>
    <w:rsid w:val="00D96E84"/>
    <w:rsid w:val="00D978BE"/>
    <w:rsid w:val="00D979C9"/>
    <w:rsid w:val="00D97CD4"/>
    <w:rsid w:val="00DA01C4"/>
    <w:rsid w:val="00DA0E9D"/>
    <w:rsid w:val="00DA119D"/>
    <w:rsid w:val="00DA1778"/>
    <w:rsid w:val="00DA27C9"/>
    <w:rsid w:val="00DA2A08"/>
    <w:rsid w:val="00DA2B31"/>
    <w:rsid w:val="00DA2B71"/>
    <w:rsid w:val="00DA39D3"/>
    <w:rsid w:val="00DA3B57"/>
    <w:rsid w:val="00DA3D7D"/>
    <w:rsid w:val="00DA45C8"/>
    <w:rsid w:val="00DA4923"/>
    <w:rsid w:val="00DA4ABC"/>
    <w:rsid w:val="00DA4CFE"/>
    <w:rsid w:val="00DA5268"/>
    <w:rsid w:val="00DA5872"/>
    <w:rsid w:val="00DA6966"/>
    <w:rsid w:val="00DB06F2"/>
    <w:rsid w:val="00DB13E0"/>
    <w:rsid w:val="00DB1496"/>
    <w:rsid w:val="00DB1B6A"/>
    <w:rsid w:val="00DB2734"/>
    <w:rsid w:val="00DB32AC"/>
    <w:rsid w:val="00DB36B3"/>
    <w:rsid w:val="00DB38C8"/>
    <w:rsid w:val="00DB444F"/>
    <w:rsid w:val="00DB56A8"/>
    <w:rsid w:val="00DB5F74"/>
    <w:rsid w:val="00DB6000"/>
    <w:rsid w:val="00DB63CC"/>
    <w:rsid w:val="00DB68A1"/>
    <w:rsid w:val="00DB7067"/>
    <w:rsid w:val="00DB7132"/>
    <w:rsid w:val="00DB76D1"/>
    <w:rsid w:val="00DC0461"/>
    <w:rsid w:val="00DC0618"/>
    <w:rsid w:val="00DC0C78"/>
    <w:rsid w:val="00DC1D9D"/>
    <w:rsid w:val="00DC20B9"/>
    <w:rsid w:val="00DC2670"/>
    <w:rsid w:val="00DC294B"/>
    <w:rsid w:val="00DC2F85"/>
    <w:rsid w:val="00DC35C0"/>
    <w:rsid w:val="00DC419C"/>
    <w:rsid w:val="00DC4601"/>
    <w:rsid w:val="00DC4655"/>
    <w:rsid w:val="00DC46E3"/>
    <w:rsid w:val="00DC4B91"/>
    <w:rsid w:val="00DC4BF8"/>
    <w:rsid w:val="00DC507E"/>
    <w:rsid w:val="00DC555A"/>
    <w:rsid w:val="00DC5723"/>
    <w:rsid w:val="00DC7287"/>
    <w:rsid w:val="00DD1D90"/>
    <w:rsid w:val="00DD3ACB"/>
    <w:rsid w:val="00DD3AE7"/>
    <w:rsid w:val="00DD41FD"/>
    <w:rsid w:val="00DD511C"/>
    <w:rsid w:val="00DD552E"/>
    <w:rsid w:val="00DD5E43"/>
    <w:rsid w:val="00DD6F72"/>
    <w:rsid w:val="00DD7485"/>
    <w:rsid w:val="00DE115A"/>
    <w:rsid w:val="00DE1351"/>
    <w:rsid w:val="00DE1914"/>
    <w:rsid w:val="00DE1BAD"/>
    <w:rsid w:val="00DE1D23"/>
    <w:rsid w:val="00DE2443"/>
    <w:rsid w:val="00DE2C6C"/>
    <w:rsid w:val="00DE32B3"/>
    <w:rsid w:val="00DE3A1B"/>
    <w:rsid w:val="00DE3D30"/>
    <w:rsid w:val="00DE3DEB"/>
    <w:rsid w:val="00DE3EF7"/>
    <w:rsid w:val="00DE46FF"/>
    <w:rsid w:val="00DE4C03"/>
    <w:rsid w:val="00DE5358"/>
    <w:rsid w:val="00DE5AC7"/>
    <w:rsid w:val="00DE5BF5"/>
    <w:rsid w:val="00DE6864"/>
    <w:rsid w:val="00DE6959"/>
    <w:rsid w:val="00DE716A"/>
    <w:rsid w:val="00DE72CE"/>
    <w:rsid w:val="00DE78D0"/>
    <w:rsid w:val="00DE79E8"/>
    <w:rsid w:val="00DF04CF"/>
    <w:rsid w:val="00DF0AD2"/>
    <w:rsid w:val="00DF0EA6"/>
    <w:rsid w:val="00DF0FE3"/>
    <w:rsid w:val="00DF15E0"/>
    <w:rsid w:val="00DF20F3"/>
    <w:rsid w:val="00DF238E"/>
    <w:rsid w:val="00DF28AF"/>
    <w:rsid w:val="00DF306E"/>
    <w:rsid w:val="00DF34A5"/>
    <w:rsid w:val="00DF3C54"/>
    <w:rsid w:val="00DF3E8E"/>
    <w:rsid w:val="00DF4704"/>
    <w:rsid w:val="00DF54BC"/>
    <w:rsid w:val="00DF5606"/>
    <w:rsid w:val="00DF56BD"/>
    <w:rsid w:val="00DF5D79"/>
    <w:rsid w:val="00DF5FA4"/>
    <w:rsid w:val="00DF6355"/>
    <w:rsid w:val="00DF69AD"/>
    <w:rsid w:val="00DF6F67"/>
    <w:rsid w:val="00DF78FE"/>
    <w:rsid w:val="00DF7BF4"/>
    <w:rsid w:val="00DF7CF9"/>
    <w:rsid w:val="00E00166"/>
    <w:rsid w:val="00E00450"/>
    <w:rsid w:val="00E00B11"/>
    <w:rsid w:val="00E014B4"/>
    <w:rsid w:val="00E02E0A"/>
    <w:rsid w:val="00E034E4"/>
    <w:rsid w:val="00E03C82"/>
    <w:rsid w:val="00E0497B"/>
    <w:rsid w:val="00E05992"/>
    <w:rsid w:val="00E05A8B"/>
    <w:rsid w:val="00E06256"/>
    <w:rsid w:val="00E06832"/>
    <w:rsid w:val="00E069E5"/>
    <w:rsid w:val="00E06BBB"/>
    <w:rsid w:val="00E06D09"/>
    <w:rsid w:val="00E1005C"/>
    <w:rsid w:val="00E105A1"/>
    <w:rsid w:val="00E10A96"/>
    <w:rsid w:val="00E10EC8"/>
    <w:rsid w:val="00E10EFB"/>
    <w:rsid w:val="00E114B7"/>
    <w:rsid w:val="00E116B8"/>
    <w:rsid w:val="00E11724"/>
    <w:rsid w:val="00E119AA"/>
    <w:rsid w:val="00E12380"/>
    <w:rsid w:val="00E123DD"/>
    <w:rsid w:val="00E124DA"/>
    <w:rsid w:val="00E12734"/>
    <w:rsid w:val="00E1293A"/>
    <w:rsid w:val="00E136E8"/>
    <w:rsid w:val="00E13CB3"/>
    <w:rsid w:val="00E13E1F"/>
    <w:rsid w:val="00E14287"/>
    <w:rsid w:val="00E148F3"/>
    <w:rsid w:val="00E14CB8"/>
    <w:rsid w:val="00E14FBE"/>
    <w:rsid w:val="00E15AB3"/>
    <w:rsid w:val="00E16AAD"/>
    <w:rsid w:val="00E17165"/>
    <w:rsid w:val="00E1768C"/>
    <w:rsid w:val="00E17EE5"/>
    <w:rsid w:val="00E21800"/>
    <w:rsid w:val="00E21AF6"/>
    <w:rsid w:val="00E21CA8"/>
    <w:rsid w:val="00E21F45"/>
    <w:rsid w:val="00E22211"/>
    <w:rsid w:val="00E227B5"/>
    <w:rsid w:val="00E23B8E"/>
    <w:rsid w:val="00E2404A"/>
    <w:rsid w:val="00E24AE9"/>
    <w:rsid w:val="00E251DB"/>
    <w:rsid w:val="00E25560"/>
    <w:rsid w:val="00E25BBF"/>
    <w:rsid w:val="00E269A8"/>
    <w:rsid w:val="00E26AEF"/>
    <w:rsid w:val="00E26DAD"/>
    <w:rsid w:val="00E26DF6"/>
    <w:rsid w:val="00E27F23"/>
    <w:rsid w:val="00E30A26"/>
    <w:rsid w:val="00E30AE6"/>
    <w:rsid w:val="00E30E4E"/>
    <w:rsid w:val="00E3105A"/>
    <w:rsid w:val="00E3118C"/>
    <w:rsid w:val="00E3153F"/>
    <w:rsid w:val="00E31B8C"/>
    <w:rsid w:val="00E3258A"/>
    <w:rsid w:val="00E32626"/>
    <w:rsid w:val="00E326D6"/>
    <w:rsid w:val="00E32759"/>
    <w:rsid w:val="00E32D50"/>
    <w:rsid w:val="00E32FB4"/>
    <w:rsid w:val="00E330D0"/>
    <w:rsid w:val="00E335F6"/>
    <w:rsid w:val="00E340E7"/>
    <w:rsid w:val="00E34A0A"/>
    <w:rsid w:val="00E34DA9"/>
    <w:rsid w:val="00E34F59"/>
    <w:rsid w:val="00E368D8"/>
    <w:rsid w:val="00E36CCD"/>
    <w:rsid w:val="00E402FC"/>
    <w:rsid w:val="00E40348"/>
    <w:rsid w:val="00E4095C"/>
    <w:rsid w:val="00E4119B"/>
    <w:rsid w:val="00E418BF"/>
    <w:rsid w:val="00E42B22"/>
    <w:rsid w:val="00E42FFB"/>
    <w:rsid w:val="00E43583"/>
    <w:rsid w:val="00E43ABA"/>
    <w:rsid w:val="00E440A8"/>
    <w:rsid w:val="00E44E36"/>
    <w:rsid w:val="00E454C4"/>
    <w:rsid w:val="00E457EA"/>
    <w:rsid w:val="00E45B62"/>
    <w:rsid w:val="00E45C15"/>
    <w:rsid w:val="00E45D51"/>
    <w:rsid w:val="00E470DA"/>
    <w:rsid w:val="00E476D0"/>
    <w:rsid w:val="00E478EA"/>
    <w:rsid w:val="00E50B81"/>
    <w:rsid w:val="00E517B6"/>
    <w:rsid w:val="00E519EF"/>
    <w:rsid w:val="00E51F01"/>
    <w:rsid w:val="00E526FE"/>
    <w:rsid w:val="00E53034"/>
    <w:rsid w:val="00E5371C"/>
    <w:rsid w:val="00E53CF2"/>
    <w:rsid w:val="00E54214"/>
    <w:rsid w:val="00E548B2"/>
    <w:rsid w:val="00E54DDC"/>
    <w:rsid w:val="00E551B8"/>
    <w:rsid w:val="00E55A4F"/>
    <w:rsid w:val="00E569F2"/>
    <w:rsid w:val="00E56E7C"/>
    <w:rsid w:val="00E56F80"/>
    <w:rsid w:val="00E572D4"/>
    <w:rsid w:val="00E573C7"/>
    <w:rsid w:val="00E575E5"/>
    <w:rsid w:val="00E60BF1"/>
    <w:rsid w:val="00E61561"/>
    <w:rsid w:val="00E61DB7"/>
    <w:rsid w:val="00E61F52"/>
    <w:rsid w:val="00E620C4"/>
    <w:rsid w:val="00E626D4"/>
    <w:rsid w:val="00E62B3D"/>
    <w:rsid w:val="00E62F70"/>
    <w:rsid w:val="00E63606"/>
    <w:rsid w:val="00E63654"/>
    <w:rsid w:val="00E64435"/>
    <w:rsid w:val="00E64E9A"/>
    <w:rsid w:val="00E66272"/>
    <w:rsid w:val="00E66739"/>
    <w:rsid w:val="00E6677B"/>
    <w:rsid w:val="00E667D7"/>
    <w:rsid w:val="00E66A0D"/>
    <w:rsid w:val="00E6742F"/>
    <w:rsid w:val="00E674AD"/>
    <w:rsid w:val="00E703A1"/>
    <w:rsid w:val="00E70DB1"/>
    <w:rsid w:val="00E70E45"/>
    <w:rsid w:val="00E71198"/>
    <w:rsid w:val="00E7381B"/>
    <w:rsid w:val="00E7387C"/>
    <w:rsid w:val="00E740F8"/>
    <w:rsid w:val="00E74370"/>
    <w:rsid w:val="00E744C3"/>
    <w:rsid w:val="00E74E43"/>
    <w:rsid w:val="00E74F1D"/>
    <w:rsid w:val="00E751D4"/>
    <w:rsid w:val="00E7627B"/>
    <w:rsid w:val="00E767DD"/>
    <w:rsid w:val="00E7695E"/>
    <w:rsid w:val="00E76C0A"/>
    <w:rsid w:val="00E76C6A"/>
    <w:rsid w:val="00E7705D"/>
    <w:rsid w:val="00E77387"/>
    <w:rsid w:val="00E77DF0"/>
    <w:rsid w:val="00E77ECA"/>
    <w:rsid w:val="00E805C0"/>
    <w:rsid w:val="00E81AA7"/>
    <w:rsid w:val="00E82274"/>
    <w:rsid w:val="00E824D0"/>
    <w:rsid w:val="00E82D9A"/>
    <w:rsid w:val="00E82DAC"/>
    <w:rsid w:val="00E84CF3"/>
    <w:rsid w:val="00E860E7"/>
    <w:rsid w:val="00E862CB"/>
    <w:rsid w:val="00E868DE"/>
    <w:rsid w:val="00E8728D"/>
    <w:rsid w:val="00E87CE1"/>
    <w:rsid w:val="00E87DEA"/>
    <w:rsid w:val="00E91A84"/>
    <w:rsid w:val="00E91CA1"/>
    <w:rsid w:val="00E92271"/>
    <w:rsid w:val="00E92F64"/>
    <w:rsid w:val="00E9372E"/>
    <w:rsid w:val="00E942E3"/>
    <w:rsid w:val="00E943C6"/>
    <w:rsid w:val="00E947C2"/>
    <w:rsid w:val="00E959A8"/>
    <w:rsid w:val="00E95BAF"/>
    <w:rsid w:val="00E96025"/>
    <w:rsid w:val="00E96307"/>
    <w:rsid w:val="00E96631"/>
    <w:rsid w:val="00E96BE7"/>
    <w:rsid w:val="00E9735E"/>
    <w:rsid w:val="00E977CA"/>
    <w:rsid w:val="00EA0455"/>
    <w:rsid w:val="00EA197B"/>
    <w:rsid w:val="00EA2C88"/>
    <w:rsid w:val="00EA39D6"/>
    <w:rsid w:val="00EA3AE2"/>
    <w:rsid w:val="00EA5439"/>
    <w:rsid w:val="00EA5DC4"/>
    <w:rsid w:val="00EA7246"/>
    <w:rsid w:val="00EA7626"/>
    <w:rsid w:val="00EB00F5"/>
    <w:rsid w:val="00EB0C81"/>
    <w:rsid w:val="00EB2376"/>
    <w:rsid w:val="00EB2E13"/>
    <w:rsid w:val="00EB2FF3"/>
    <w:rsid w:val="00EB4029"/>
    <w:rsid w:val="00EB4165"/>
    <w:rsid w:val="00EB4897"/>
    <w:rsid w:val="00EB5FAA"/>
    <w:rsid w:val="00EB675E"/>
    <w:rsid w:val="00EB676B"/>
    <w:rsid w:val="00EB6FEA"/>
    <w:rsid w:val="00EB7F6D"/>
    <w:rsid w:val="00EC0773"/>
    <w:rsid w:val="00EC0A7F"/>
    <w:rsid w:val="00EC153B"/>
    <w:rsid w:val="00EC1AAE"/>
    <w:rsid w:val="00EC2B6E"/>
    <w:rsid w:val="00EC371D"/>
    <w:rsid w:val="00EC3747"/>
    <w:rsid w:val="00EC528D"/>
    <w:rsid w:val="00EC6528"/>
    <w:rsid w:val="00EC674B"/>
    <w:rsid w:val="00EC6F54"/>
    <w:rsid w:val="00EC70B0"/>
    <w:rsid w:val="00EC7650"/>
    <w:rsid w:val="00EC7E34"/>
    <w:rsid w:val="00ED03F4"/>
    <w:rsid w:val="00ED04AB"/>
    <w:rsid w:val="00ED08B5"/>
    <w:rsid w:val="00ED0F32"/>
    <w:rsid w:val="00ED1195"/>
    <w:rsid w:val="00ED1992"/>
    <w:rsid w:val="00ED215B"/>
    <w:rsid w:val="00ED2337"/>
    <w:rsid w:val="00ED2602"/>
    <w:rsid w:val="00ED270E"/>
    <w:rsid w:val="00ED2A88"/>
    <w:rsid w:val="00ED3DDE"/>
    <w:rsid w:val="00ED4123"/>
    <w:rsid w:val="00ED4394"/>
    <w:rsid w:val="00ED4956"/>
    <w:rsid w:val="00ED502F"/>
    <w:rsid w:val="00ED55DD"/>
    <w:rsid w:val="00ED572E"/>
    <w:rsid w:val="00ED5C9F"/>
    <w:rsid w:val="00ED62FA"/>
    <w:rsid w:val="00ED6F91"/>
    <w:rsid w:val="00EE0011"/>
    <w:rsid w:val="00EE1EE9"/>
    <w:rsid w:val="00EE2872"/>
    <w:rsid w:val="00EE2EE5"/>
    <w:rsid w:val="00EE2F8E"/>
    <w:rsid w:val="00EE314B"/>
    <w:rsid w:val="00EE571C"/>
    <w:rsid w:val="00EE5AEB"/>
    <w:rsid w:val="00EE6BC9"/>
    <w:rsid w:val="00EE7592"/>
    <w:rsid w:val="00EE78F9"/>
    <w:rsid w:val="00EE7DBD"/>
    <w:rsid w:val="00EF0268"/>
    <w:rsid w:val="00EF0321"/>
    <w:rsid w:val="00EF03CE"/>
    <w:rsid w:val="00EF0845"/>
    <w:rsid w:val="00EF1144"/>
    <w:rsid w:val="00EF1F76"/>
    <w:rsid w:val="00EF24CB"/>
    <w:rsid w:val="00EF2D56"/>
    <w:rsid w:val="00EF3181"/>
    <w:rsid w:val="00EF3FE6"/>
    <w:rsid w:val="00EF44D5"/>
    <w:rsid w:val="00EF49B2"/>
    <w:rsid w:val="00EF4D31"/>
    <w:rsid w:val="00EF5903"/>
    <w:rsid w:val="00EF5A1F"/>
    <w:rsid w:val="00EF5F57"/>
    <w:rsid w:val="00EF68E4"/>
    <w:rsid w:val="00EF6A62"/>
    <w:rsid w:val="00EF74E8"/>
    <w:rsid w:val="00EF7AAF"/>
    <w:rsid w:val="00EF7D7E"/>
    <w:rsid w:val="00EF7E92"/>
    <w:rsid w:val="00F00F98"/>
    <w:rsid w:val="00F01758"/>
    <w:rsid w:val="00F01AC8"/>
    <w:rsid w:val="00F01E95"/>
    <w:rsid w:val="00F0205A"/>
    <w:rsid w:val="00F03468"/>
    <w:rsid w:val="00F03877"/>
    <w:rsid w:val="00F03A67"/>
    <w:rsid w:val="00F03D92"/>
    <w:rsid w:val="00F043F4"/>
    <w:rsid w:val="00F04437"/>
    <w:rsid w:val="00F044B6"/>
    <w:rsid w:val="00F048D7"/>
    <w:rsid w:val="00F04A67"/>
    <w:rsid w:val="00F055E8"/>
    <w:rsid w:val="00F05A8A"/>
    <w:rsid w:val="00F05F6F"/>
    <w:rsid w:val="00F06700"/>
    <w:rsid w:val="00F068A5"/>
    <w:rsid w:val="00F0752F"/>
    <w:rsid w:val="00F104A2"/>
    <w:rsid w:val="00F10D28"/>
    <w:rsid w:val="00F10F0E"/>
    <w:rsid w:val="00F1171E"/>
    <w:rsid w:val="00F11C8A"/>
    <w:rsid w:val="00F11D90"/>
    <w:rsid w:val="00F11F23"/>
    <w:rsid w:val="00F127A7"/>
    <w:rsid w:val="00F12ABD"/>
    <w:rsid w:val="00F12FF4"/>
    <w:rsid w:val="00F15C13"/>
    <w:rsid w:val="00F16144"/>
    <w:rsid w:val="00F16A53"/>
    <w:rsid w:val="00F16A75"/>
    <w:rsid w:val="00F174BF"/>
    <w:rsid w:val="00F17FC7"/>
    <w:rsid w:val="00F200E0"/>
    <w:rsid w:val="00F20BE0"/>
    <w:rsid w:val="00F216C2"/>
    <w:rsid w:val="00F229F1"/>
    <w:rsid w:val="00F22AA6"/>
    <w:rsid w:val="00F23927"/>
    <w:rsid w:val="00F24E49"/>
    <w:rsid w:val="00F258CC"/>
    <w:rsid w:val="00F259D8"/>
    <w:rsid w:val="00F25A87"/>
    <w:rsid w:val="00F260FD"/>
    <w:rsid w:val="00F27075"/>
    <w:rsid w:val="00F27A62"/>
    <w:rsid w:val="00F30038"/>
    <w:rsid w:val="00F3074A"/>
    <w:rsid w:val="00F30B48"/>
    <w:rsid w:val="00F310E4"/>
    <w:rsid w:val="00F33681"/>
    <w:rsid w:val="00F33855"/>
    <w:rsid w:val="00F33A41"/>
    <w:rsid w:val="00F33A64"/>
    <w:rsid w:val="00F33B4D"/>
    <w:rsid w:val="00F347F0"/>
    <w:rsid w:val="00F3481B"/>
    <w:rsid w:val="00F3490E"/>
    <w:rsid w:val="00F34D63"/>
    <w:rsid w:val="00F35048"/>
    <w:rsid w:val="00F356F8"/>
    <w:rsid w:val="00F360CB"/>
    <w:rsid w:val="00F36691"/>
    <w:rsid w:val="00F36C49"/>
    <w:rsid w:val="00F375BB"/>
    <w:rsid w:val="00F37A81"/>
    <w:rsid w:val="00F40C4D"/>
    <w:rsid w:val="00F40DA7"/>
    <w:rsid w:val="00F40DE8"/>
    <w:rsid w:val="00F40F61"/>
    <w:rsid w:val="00F423B2"/>
    <w:rsid w:val="00F426A4"/>
    <w:rsid w:val="00F4298A"/>
    <w:rsid w:val="00F42992"/>
    <w:rsid w:val="00F42C70"/>
    <w:rsid w:val="00F42CA2"/>
    <w:rsid w:val="00F44AFA"/>
    <w:rsid w:val="00F45398"/>
    <w:rsid w:val="00F4582A"/>
    <w:rsid w:val="00F45B54"/>
    <w:rsid w:val="00F46142"/>
    <w:rsid w:val="00F47A44"/>
    <w:rsid w:val="00F47F56"/>
    <w:rsid w:val="00F50197"/>
    <w:rsid w:val="00F509AE"/>
    <w:rsid w:val="00F50B84"/>
    <w:rsid w:val="00F50D3A"/>
    <w:rsid w:val="00F50D56"/>
    <w:rsid w:val="00F5119C"/>
    <w:rsid w:val="00F513A5"/>
    <w:rsid w:val="00F51620"/>
    <w:rsid w:val="00F529E1"/>
    <w:rsid w:val="00F53701"/>
    <w:rsid w:val="00F544B7"/>
    <w:rsid w:val="00F549FA"/>
    <w:rsid w:val="00F56F17"/>
    <w:rsid w:val="00F57AA3"/>
    <w:rsid w:val="00F57B73"/>
    <w:rsid w:val="00F57CDB"/>
    <w:rsid w:val="00F604D1"/>
    <w:rsid w:val="00F60569"/>
    <w:rsid w:val="00F60DD3"/>
    <w:rsid w:val="00F627D5"/>
    <w:rsid w:val="00F630B8"/>
    <w:rsid w:val="00F63909"/>
    <w:rsid w:val="00F63F65"/>
    <w:rsid w:val="00F64947"/>
    <w:rsid w:val="00F65D00"/>
    <w:rsid w:val="00F65FB4"/>
    <w:rsid w:val="00F660A0"/>
    <w:rsid w:val="00F66EF0"/>
    <w:rsid w:val="00F67150"/>
    <w:rsid w:val="00F67402"/>
    <w:rsid w:val="00F6742E"/>
    <w:rsid w:val="00F677B1"/>
    <w:rsid w:val="00F67B2E"/>
    <w:rsid w:val="00F71882"/>
    <w:rsid w:val="00F721B9"/>
    <w:rsid w:val="00F722C9"/>
    <w:rsid w:val="00F72DFF"/>
    <w:rsid w:val="00F73AD6"/>
    <w:rsid w:val="00F73C64"/>
    <w:rsid w:val="00F7408A"/>
    <w:rsid w:val="00F74344"/>
    <w:rsid w:val="00F74D38"/>
    <w:rsid w:val="00F74E1F"/>
    <w:rsid w:val="00F74ECC"/>
    <w:rsid w:val="00F75000"/>
    <w:rsid w:val="00F75407"/>
    <w:rsid w:val="00F75C8F"/>
    <w:rsid w:val="00F76B29"/>
    <w:rsid w:val="00F77177"/>
    <w:rsid w:val="00F8002B"/>
    <w:rsid w:val="00F8080E"/>
    <w:rsid w:val="00F80D8D"/>
    <w:rsid w:val="00F8117A"/>
    <w:rsid w:val="00F8148E"/>
    <w:rsid w:val="00F81609"/>
    <w:rsid w:val="00F8187E"/>
    <w:rsid w:val="00F8274D"/>
    <w:rsid w:val="00F83B84"/>
    <w:rsid w:val="00F84228"/>
    <w:rsid w:val="00F84745"/>
    <w:rsid w:val="00F84DFB"/>
    <w:rsid w:val="00F85225"/>
    <w:rsid w:val="00F85775"/>
    <w:rsid w:val="00F85799"/>
    <w:rsid w:val="00F85F9C"/>
    <w:rsid w:val="00F86234"/>
    <w:rsid w:val="00F8689C"/>
    <w:rsid w:val="00F86E2B"/>
    <w:rsid w:val="00F8764A"/>
    <w:rsid w:val="00F90376"/>
    <w:rsid w:val="00F9087F"/>
    <w:rsid w:val="00F90B17"/>
    <w:rsid w:val="00F912A8"/>
    <w:rsid w:val="00F91816"/>
    <w:rsid w:val="00F918CA"/>
    <w:rsid w:val="00F91B87"/>
    <w:rsid w:val="00F93ACB"/>
    <w:rsid w:val="00F93D3C"/>
    <w:rsid w:val="00F942E7"/>
    <w:rsid w:val="00F94CB5"/>
    <w:rsid w:val="00F94EA1"/>
    <w:rsid w:val="00F95281"/>
    <w:rsid w:val="00F95E11"/>
    <w:rsid w:val="00F95EAC"/>
    <w:rsid w:val="00F964F2"/>
    <w:rsid w:val="00F9663A"/>
    <w:rsid w:val="00F9674F"/>
    <w:rsid w:val="00F96794"/>
    <w:rsid w:val="00F97026"/>
    <w:rsid w:val="00F97A62"/>
    <w:rsid w:val="00F97BD3"/>
    <w:rsid w:val="00FA05EF"/>
    <w:rsid w:val="00FA13A5"/>
    <w:rsid w:val="00FA1715"/>
    <w:rsid w:val="00FA1A88"/>
    <w:rsid w:val="00FA22D4"/>
    <w:rsid w:val="00FA2726"/>
    <w:rsid w:val="00FA2812"/>
    <w:rsid w:val="00FA33F8"/>
    <w:rsid w:val="00FA3496"/>
    <w:rsid w:val="00FA4362"/>
    <w:rsid w:val="00FA463C"/>
    <w:rsid w:val="00FA48EA"/>
    <w:rsid w:val="00FA7199"/>
    <w:rsid w:val="00FA780F"/>
    <w:rsid w:val="00FA7898"/>
    <w:rsid w:val="00FB0481"/>
    <w:rsid w:val="00FB0F0D"/>
    <w:rsid w:val="00FB11D0"/>
    <w:rsid w:val="00FB135F"/>
    <w:rsid w:val="00FB14DD"/>
    <w:rsid w:val="00FB1BC9"/>
    <w:rsid w:val="00FB3A29"/>
    <w:rsid w:val="00FB3DC7"/>
    <w:rsid w:val="00FB3DD2"/>
    <w:rsid w:val="00FB45C8"/>
    <w:rsid w:val="00FB4623"/>
    <w:rsid w:val="00FB4FE4"/>
    <w:rsid w:val="00FB500F"/>
    <w:rsid w:val="00FB5AA3"/>
    <w:rsid w:val="00FB5F7F"/>
    <w:rsid w:val="00FB6F7E"/>
    <w:rsid w:val="00FB7748"/>
    <w:rsid w:val="00FB77FB"/>
    <w:rsid w:val="00FB7934"/>
    <w:rsid w:val="00FC01BD"/>
    <w:rsid w:val="00FC1DD2"/>
    <w:rsid w:val="00FC24D9"/>
    <w:rsid w:val="00FC3652"/>
    <w:rsid w:val="00FC3809"/>
    <w:rsid w:val="00FC3999"/>
    <w:rsid w:val="00FC3A95"/>
    <w:rsid w:val="00FC3BE5"/>
    <w:rsid w:val="00FC44D3"/>
    <w:rsid w:val="00FC4C32"/>
    <w:rsid w:val="00FC5CBB"/>
    <w:rsid w:val="00FC7D12"/>
    <w:rsid w:val="00FD020F"/>
    <w:rsid w:val="00FD0367"/>
    <w:rsid w:val="00FD0606"/>
    <w:rsid w:val="00FD0BD8"/>
    <w:rsid w:val="00FD1064"/>
    <w:rsid w:val="00FD14EA"/>
    <w:rsid w:val="00FD1618"/>
    <w:rsid w:val="00FD1D12"/>
    <w:rsid w:val="00FD1D51"/>
    <w:rsid w:val="00FD21F3"/>
    <w:rsid w:val="00FD29D4"/>
    <w:rsid w:val="00FD2AB1"/>
    <w:rsid w:val="00FD371A"/>
    <w:rsid w:val="00FD38CF"/>
    <w:rsid w:val="00FD39CF"/>
    <w:rsid w:val="00FD4C83"/>
    <w:rsid w:val="00FD5E88"/>
    <w:rsid w:val="00FD5F0A"/>
    <w:rsid w:val="00FD64A3"/>
    <w:rsid w:val="00FD69B3"/>
    <w:rsid w:val="00FD6D30"/>
    <w:rsid w:val="00FD6EC5"/>
    <w:rsid w:val="00FD7420"/>
    <w:rsid w:val="00FD74B5"/>
    <w:rsid w:val="00FD750F"/>
    <w:rsid w:val="00FD7774"/>
    <w:rsid w:val="00FD77D1"/>
    <w:rsid w:val="00FD7C24"/>
    <w:rsid w:val="00FD7FA4"/>
    <w:rsid w:val="00FE05B7"/>
    <w:rsid w:val="00FE0AA0"/>
    <w:rsid w:val="00FE135C"/>
    <w:rsid w:val="00FE15C0"/>
    <w:rsid w:val="00FE1D9D"/>
    <w:rsid w:val="00FE1E0A"/>
    <w:rsid w:val="00FE2665"/>
    <w:rsid w:val="00FE2C2A"/>
    <w:rsid w:val="00FE31BB"/>
    <w:rsid w:val="00FE31E2"/>
    <w:rsid w:val="00FE38FA"/>
    <w:rsid w:val="00FE403F"/>
    <w:rsid w:val="00FE40D4"/>
    <w:rsid w:val="00FE4136"/>
    <w:rsid w:val="00FE4321"/>
    <w:rsid w:val="00FE4C8A"/>
    <w:rsid w:val="00FE4D3C"/>
    <w:rsid w:val="00FE5499"/>
    <w:rsid w:val="00FE56CD"/>
    <w:rsid w:val="00FE5C5C"/>
    <w:rsid w:val="00FE5EDF"/>
    <w:rsid w:val="00FE650A"/>
    <w:rsid w:val="00FE658B"/>
    <w:rsid w:val="00FE6D2E"/>
    <w:rsid w:val="00FE74E8"/>
    <w:rsid w:val="00FE78CE"/>
    <w:rsid w:val="00FE7E8D"/>
    <w:rsid w:val="00FF0671"/>
    <w:rsid w:val="00FF0E73"/>
    <w:rsid w:val="00FF1450"/>
    <w:rsid w:val="00FF26E5"/>
    <w:rsid w:val="00FF288B"/>
    <w:rsid w:val="00FF2B37"/>
    <w:rsid w:val="00FF2D8A"/>
    <w:rsid w:val="00FF370B"/>
    <w:rsid w:val="00FF41D0"/>
    <w:rsid w:val="00FF4536"/>
    <w:rsid w:val="00FF4A94"/>
    <w:rsid w:val="00FF5740"/>
    <w:rsid w:val="00FF5EC5"/>
    <w:rsid w:val="00FF60B9"/>
    <w:rsid w:val="00FF626A"/>
    <w:rsid w:val="00FF6F94"/>
    <w:rsid w:val="00FF7464"/>
    <w:rsid w:val="00FF765F"/>
    <w:rsid w:val="00FF7F6B"/>
    <w:rsid w:val="04C1C260"/>
    <w:rsid w:val="057FE92A"/>
    <w:rsid w:val="6129E8DB"/>
    <w:rsid w:val="6E55F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F4529"/>
  <w15:docId w15:val="{DB63E2FF-7896-441B-A92C-F5990225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2127"/>
    <w:pPr>
      <w:keepNext/>
      <w:keepLines/>
      <w:spacing w:before="240" w:after="24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182127"/>
    <w:pPr>
      <w:keepNext/>
      <w:keepLines/>
      <w:spacing w:before="240" w:after="240"/>
      <w:outlineLvl w:val="1"/>
    </w:pPr>
    <w:rPr>
      <w:rFonts w:eastAsiaTheme="majorEastAsia" w:cstheme="majorBidi"/>
      <w:b/>
      <w:i/>
      <w:sz w:val="24"/>
      <w:szCs w:val="26"/>
    </w:rPr>
  </w:style>
  <w:style w:type="paragraph" w:styleId="Heading3">
    <w:name w:val="heading 3"/>
    <w:basedOn w:val="Normal"/>
    <w:next w:val="Normal"/>
    <w:link w:val="Heading3Char"/>
    <w:uiPriority w:val="9"/>
    <w:unhideWhenUsed/>
    <w:qFormat/>
    <w:rsid w:val="00182127"/>
    <w:pPr>
      <w:keepNext/>
      <w:keepLines/>
      <w:spacing w:before="120" w:after="120"/>
      <w:outlineLvl w:val="2"/>
    </w:pPr>
    <w:rPr>
      <w:rFonts w:eastAsiaTheme="majorEastAsia" w:cstheme="majorBidi"/>
      <w:i/>
      <w:sz w:val="24"/>
      <w:szCs w:val="24"/>
    </w:rPr>
  </w:style>
  <w:style w:type="paragraph" w:styleId="Heading4">
    <w:name w:val="heading 4"/>
    <w:basedOn w:val="Normal"/>
    <w:next w:val="Normal"/>
    <w:link w:val="Heading4Char"/>
    <w:uiPriority w:val="9"/>
    <w:unhideWhenUsed/>
    <w:qFormat/>
    <w:rsid w:val="00182127"/>
    <w:pPr>
      <w:keepNext/>
      <w:keepLines/>
      <w:spacing w:before="40" w:after="0"/>
      <w:outlineLvl w:val="3"/>
    </w:pPr>
    <w:rPr>
      <w:rFonts w:asciiTheme="majorHAnsi" w:eastAsiaTheme="majorEastAsia" w:hAnsiTheme="majorHAnsi" w:cstheme="majorBidi"/>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2127"/>
    <w:rPr>
      <w:rFonts w:eastAsiaTheme="majorEastAsia" w:cstheme="majorBidi"/>
      <w:b/>
      <w:i/>
      <w:sz w:val="24"/>
      <w:szCs w:val="26"/>
    </w:rPr>
  </w:style>
  <w:style w:type="paragraph" w:styleId="FootnoteText">
    <w:name w:val="footnote text"/>
    <w:basedOn w:val="Normal"/>
    <w:link w:val="FootnoteTextChar"/>
    <w:uiPriority w:val="99"/>
    <w:semiHidden/>
    <w:unhideWhenUsed/>
    <w:rsid w:val="00B606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6BD"/>
    <w:rPr>
      <w:sz w:val="20"/>
      <w:szCs w:val="20"/>
    </w:rPr>
  </w:style>
  <w:style w:type="character" w:styleId="FootnoteReference">
    <w:name w:val="footnote reference"/>
    <w:basedOn w:val="DefaultParagraphFont"/>
    <w:uiPriority w:val="99"/>
    <w:semiHidden/>
    <w:unhideWhenUsed/>
    <w:rsid w:val="00B606BD"/>
    <w:rPr>
      <w:vertAlign w:val="superscript"/>
    </w:rPr>
  </w:style>
  <w:style w:type="table" w:styleId="TableGrid">
    <w:name w:val="Table Grid"/>
    <w:basedOn w:val="TableNormal"/>
    <w:uiPriority w:val="39"/>
    <w:rsid w:val="00137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2127"/>
    <w:rPr>
      <w:rFonts w:asciiTheme="majorHAnsi" w:eastAsiaTheme="majorEastAsia" w:hAnsiTheme="majorHAnsi" w:cstheme="majorBidi"/>
      <w:b/>
      <w:color w:val="2F5496" w:themeColor="accent1" w:themeShade="BF"/>
      <w:sz w:val="28"/>
      <w:szCs w:val="32"/>
    </w:rPr>
  </w:style>
  <w:style w:type="paragraph" w:styleId="ListParagraph">
    <w:name w:val="List Paragraph"/>
    <w:basedOn w:val="Normal"/>
    <w:uiPriority w:val="34"/>
    <w:qFormat/>
    <w:rsid w:val="003301C6"/>
    <w:pPr>
      <w:ind w:left="720"/>
      <w:contextualSpacing/>
    </w:pPr>
  </w:style>
  <w:style w:type="character" w:styleId="CommentReference">
    <w:name w:val="annotation reference"/>
    <w:basedOn w:val="DefaultParagraphFont"/>
    <w:uiPriority w:val="99"/>
    <w:semiHidden/>
    <w:unhideWhenUsed/>
    <w:rsid w:val="00AE7AA1"/>
    <w:rPr>
      <w:sz w:val="16"/>
      <w:szCs w:val="16"/>
    </w:rPr>
  </w:style>
  <w:style w:type="paragraph" w:styleId="CommentText">
    <w:name w:val="annotation text"/>
    <w:basedOn w:val="Normal"/>
    <w:link w:val="CommentTextChar"/>
    <w:uiPriority w:val="99"/>
    <w:unhideWhenUsed/>
    <w:rsid w:val="00AE7AA1"/>
    <w:pPr>
      <w:spacing w:line="240" w:lineRule="auto"/>
    </w:pPr>
    <w:rPr>
      <w:sz w:val="20"/>
      <w:szCs w:val="20"/>
    </w:rPr>
  </w:style>
  <w:style w:type="character" w:customStyle="1" w:styleId="CommentTextChar">
    <w:name w:val="Comment Text Char"/>
    <w:basedOn w:val="DefaultParagraphFont"/>
    <w:link w:val="CommentText"/>
    <w:uiPriority w:val="99"/>
    <w:rsid w:val="00AE7AA1"/>
    <w:rPr>
      <w:sz w:val="20"/>
      <w:szCs w:val="20"/>
    </w:rPr>
  </w:style>
  <w:style w:type="paragraph" w:styleId="CommentSubject">
    <w:name w:val="annotation subject"/>
    <w:basedOn w:val="CommentText"/>
    <w:next w:val="CommentText"/>
    <w:link w:val="CommentSubjectChar"/>
    <w:uiPriority w:val="99"/>
    <w:semiHidden/>
    <w:unhideWhenUsed/>
    <w:rsid w:val="00AE7AA1"/>
    <w:rPr>
      <w:b/>
      <w:bCs/>
    </w:rPr>
  </w:style>
  <w:style w:type="character" w:customStyle="1" w:styleId="CommentSubjectChar">
    <w:name w:val="Comment Subject Char"/>
    <w:basedOn w:val="CommentTextChar"/>
    <w:link w:val="CommentSubject"/>
    <w:uiPriority w:val="99"/>
    <w:semiHidden/>
    <w:rsid w:val="00AE7AA1"/>
    <w:rPr>
      <w:b/>
      <w:bCs/>
      <w:sz w:val="20"/>
      <w:szCs w:val="20"/>
    </w:rPr>
  </w:style>
  <w:style w:type="paragraph" w:styleId="BalloonText">
    <w:name w:val="Balloon Text"/>
    <w:basedOn w:val="Normal"/>
    <w:link w:val="BalloonTextChar"/>
    <w:uiPriority w:val="99"/>
    <w:semiHidden/>
    <w:unhideWhenUsed/>
    <w:rsid w:val="00AE7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A1"/>
    <w:rPr>
      <w:rFonts w:ascii="Segoe UI" w:hAnsi="Segoe UI" w:cs="Segoe UI"/>
      <w:sz w:val="18"/>
      <w:szCs w:val="18"/>
    </w:rPr>
  </w:style>
  <w:style w:type="paragraph" w:styleId="Title">
    <w:name w:val="Title"/>
    <w:basedOn w:val="Normal"/>
    <w:next w:val="Normal"/>
    <w:link w:val="TitleChar"/>
    <w:uiPriority w:val="10"/>
    <w:qFormat/>
    <w:rsid w:val="00946C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6C6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946C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C60"/>
  </w:style>
  <w:style w:type="paragraph" w:styleId="Footer">
    <w:name w:val="footer"/>
    <w:basedOn w:val="Normal"/>
    <w:link w:val="FooterChar"/>
    <w:uiPriority w:val="99"/>
    <w:unhideWhenUsed/>
    <w:rsid w:val="00946C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C60"/>
  </w:style>
  <w:style w:type="character" w:customStyle="1" w:styleId="Heading3Char">
    <w:name w:val="Heading 3 Char"/>
    <w:basedOn w:val="DefaultParagraphFont"/>
    <w:link w:val="Heading3"/>
    <w:uiPriority w:val="9"/>
    <w:rsid w:val="00182127"/>
    <w:rPr>
      <w:rFonts w:eastAsiaTheme="majorEastAsia" w:cstheme="majorBidi"/>
      <w:i/>
      <w:sz w:val="24"/>
      <w:szCs w:val="24"/>
    </w:rPr>
  </w:style>
  <w:style w:type="character" w:styleId="Hyperlink">
    <w:name w:val="Hyperlink"/>
    <w:basedOn w:val="DefaultParagraphFont"/>
    <w:uiPriority w:val="99"/>
    <w:unhideWhenUsed/>
    <w:rsid w:val="00E22211"/>
    <w:rPr>
      <w:color w:val="0563C1" w:themeColor="hyperlink"/>
      <w:u w:val="single"/>
    </w:rPr>
  </w:style>
  <w:style w:type="character" w:customStyle="1" w:styleId="UnresolvedMention1">
    <w:name w:val="Unresolved Mention1"/>
    <w:basedOn w:val="DefaultParagraphFont"/>
    <w:uiPriority w:val="99"/>
    <w:semiHidden/>
    <w:unhideWhenUsed/>
    <w:rsid w:val="00E22211"/>
    <w:rPr>
      <w:color w:val="808080"/>
      <w:shd w:val="clear" w:color="auto" w:fill="E6E6E6"/>
    </w:rPr>
  </w:style>
  <w:style w:type="character" w:customStyle="1" w:styleId="apple-converted-space">
    <w:name w:val="apple-converted-space"/>
    <w:basedOn w:val="DefaultParagraphFont"/>
    <w:rsid w:val="00A9529A"/>
  </w:style>
  <w:style w:type="character" w:customStyle="1" w:styleId="UnresolvedMention2">
    <w:name w:val="Unresolved Mention2"/>
    <w:basedOn w:val="DefaultParagraphFont"/>
    <w:uiPriority w:val="99"/>
    <w:semiHidden/>
    <w:unhideWhenUsed/>
    <w:rsid w:val="003F3460"/>
    <w:rPr>
      <w:color w:val="808080"/>
      <w:shd w:val="clear" w:color="auto" w:fill="E6E6E6"/>
    </w:rPr>
  </w:style>
  <w:style w:type="paragraph" w:styleId="TOCHeading">
    <w:name w:val="TOC Heading"/>
    <w:basedOn w:val="Heading1"/>
    <w:next w:val="Normal"/>
    <w:uiPriority w:val="39"/>
    <w:unhideWhenUsed/>
    <w:qFormat/>
    <w:rsid w:val="001F0A19"/>
    <w:pPr>
      <w:outlineLvl w:val="9"/>
    </w:pPr>
  </w:style>
  <w:style w:type="paragraph" w:styleId="TOC1">
    <w:name w:val="toc 1"/>
    <w:basedOn w:val="Normal"/>
    <w:next w:val="Normal"/>
    <w:autoRedefine/>
    <w:uiPriority w:val="39"/>
    <w:unhideWhenUsed/>
    <w:rsid w:val="001F0A19"/>
    <w:pPr>
      <w:spacing w:after="100"/>
    </w:pPr>
  </w:style>
  <w:style w:type="paragraph" w:styleId="TOC2">
    <w:name w:val="toc 2"/>
    <w:basedOn w:val="Normal"/>
    <w:next w:val="Normal"/>
    <w:autoRedefine/>
    <w:uiPriority w:val="39"/>
    <w:unhideWhenUsed/>
    <w:rsid w:val="0057116F"/>
    <w:pPr>
      <w:tabs>
        <w:tab w:val="right" w:leader="dot" w:pos="9350"/>
      </w:tabs>
      <w:spacing w:after="100"/>
      <w:ind w:left="220"/>
    </w:pPr>
    <w:rPr>
      <w:noProof/>
    </w:rPr>
  </w:style>
  <w:style w:type="paragraph" w:styleId="TOC3">
    <w:name w:val="toc 3"/>
    <w:basedOn w:val="Normal"/>
    <w:next w:val="Normal"/>
    <w:autoRedefine/>
    <w:uiPriority w:val="39"/>
    <w:unhideWhenUsed/>
    <w:rsid w:val="009D0A24"/>
    <w:pPr>
      <w:spacing w:after="100"/>
      <w:ind w:left="440"/>
    </w:pPr>
  </w:style>
  <w:style w:type="table" w:styleId="LightShading-Accent1">
    <w:name w:val="Light Shading Accent 1"/>
    <w:basedOn w:val="TableNormal"/>
    <w:uiPriority w:val="60"/>
    <w:rsid w:val="00017A95"/>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3">
    <w:name w:val="Light Shading Accent 3"/>
    <w:basedOn w:val="TableNormal"/>
    <w:uiPriority w:val="60"/>
    <w:rsid w:val="00017A9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5">
    <w:name w:val="Light Shading Accent 5"/>
    <w:basedOn w:val="TableNormal"/>
    <w:uiPriority w:val="60"/>
    <w:rsid w:val="00017A95"/>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List-Accent5">
    <w:name w:val="Light List Accent 5"/>
    <w:basedOn w:val="TableNormal"/>
    <w:uiPriority w:val="61"/>
    <w:rsid w:val="00017A95"/>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Grid-Accent1">
    <w:name w:val="Light Grid Accent 1"/>
    <w:basedOn w:val="TableNormal"/>
    <w:uiPriority w:val="62"/>
    <w:rsid w:val="00017A95"/>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Heading4Char">
    <w:name w:val="Heading 4 Char"/>
    <w:basedOn w:val="DefaultParagraphFont"/>
    <w:link w:val="Heading4"/>
    <w:uiPriority w:val="9"/>
    <w:rsid w:val="00182127"/>
    <w:rPr>
      <w:rFonts w:asciiTheme="majorHAnsi" w:eastAsiaTheme="majorEastAsia" w:hAnsiTheme="majorHAnsi" w:cstheme="majorBidi"/>
      <w:b/>
      <w:i/>
      <w:iCs/>
      <w:sz w:val="24"/>
    </w:rPr>
  </w:style>
  <w:style w:type="table" w:styleId="GridTable1Light-Accent1">
    <w:name w:val="Grid Table 1 Light Accent 1"/>
    <w:basedOn w:val="TableNormal"/>
    <w:uiPriority w:val="46"/>
    <w:rsid w:val="0018212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8212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E7E7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1">
    <w:name w:val="Grid Table 2 Accent 1"/>
    <w:basedOn w:val="TableNormal"/>
    <w:uiPriority w:val="47"/>
    <w:rsid w:val="00AE7E76"/>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xxxmsonormal">
    <w:name w:val="x_xxmsonormal"/>
    <w:basedOn w:val="Normal"/>
    <w:uiPriority w:val="99"/>
    <w:rsid w:val="00FD1D12"/>
    <w:pPr>
      <w:spacing w:after="0" w:line="240" w:lineRule="auto"/>
    </w:pPr>
    <w:rPr>
      <w:rFonts w:ascii="Calibri" w:hAnsi="Calibri" w:cs="Times New Roman"/>
    </w:rPr>
  </w:style>
  <w:style w:type="paragraph" w:styleId="Revision">
    <w:name w:val="Revision"/>
    <w:hidden/>
    <w:uiPriority w:val="99"/>
    <w:semiHidden/>
    <w:rsid w:val="002D3147"/>
    <w:pPr>
      <w:spacing w:after="0" w:line="240" w:lineRule="auto"/>
    </w:pPr>
  </w:style>
  <w:style w:type="character" w:customStyle="1" w:styleId="UnresolvedMention3">
    <w:name w:val="Unresolved Mention3"/>
    <w:basedOn w:val="DefaultParagraphFont"/>
    <w:uiPriority w:val="99"/>
    <w:semiHidden/>
    <w:unhideWhenUsed/>
    <w:rsid w:val="00D578B6"/>
    <w:rPr>
      <w:color w:val="808080"/>
      <w:shd w:val="clear" w:color="auto" w:fill="E6E6E6"/>
    </w:rPr>
  </w:style>
  <w:style w:type="paragraph" w:styleId="NormalWeb">
    <w:name w:val="Normal (Web)"/>
    <w:basedOn w:val="Normal"/>
    <w:uiPriority w:val="99"/>
    <w:unhideWhenUsed/>
    <w:rsid w:val="00FD39CF"/>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7C3C1F"/>
  </w:style>
  <w:style w:type="character" w:styleId="FollowedHyperlink">
    <w:name w:val="FollowedHyperlink"/>
    <w:basedOn w:val="DefaultParagraphFont"/>
    <w:uiPriority w:val="99"/>
    <w:semiHidden/>
    <w:unhideWhenUsed/>
    <w:rsid w:val="008819DE"/>
    <w:rPr>
      <w:color w:val="954F72" w:themeColor="followedHyperlink"/>
      <w:u w:val="single"/>
    </w:rPr>
  </w:style>
  <w:style w:type="character" w:customStyle="1" w:styleId="UnresolvedMention4">
    <w:name w:val="Unresolved Mention4"/>
    <w:basedOn w:val="DefaultParagraphFont"/>
    <w:uiPriority w:val="99"/>
    <w:semiHidden/>
    <w:unhideWhenUsed/>
    <w:rsid w:val="001C3B8B"/>
    <w:rPr>
      <w:color w:val="605E5C"/>
      <w:shd w:val="clear" w:color="auto" w:fill="E1DFDD"/>
    </w:rPr>
  </w:style>
  <w:style w:type="character" w:styleId="UnresolvedMention">
    <w:name w:val="Unresolved Mention"/>
    <w:basedOn w:val="DefaultParagraphFont"/>
    <w:uiPriority w:val="99"/>
    <w:unhideWhenUsed/>
    <w:rsid w:val="00ED04AB"/>
    <w:rPr>
      <w:color w:val="605E5C"/>
      <w:shd w:val="clear" w:color="auto" w:fill="E1DFDD"/>
    </w:rPr>
  </w:style>
  <w:style w:type="character" w:styleId="Mention">
    <w:name w:val="Mention"/>
    <w:basedOn w:val="DefaultParagraphFont"/>
    <w:uiPriority w:val="99"/>
    <w:unhideWhenUsed/>
    <w:rsid w:val="007B77B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950704">
      <w:bodyDiv w:val="1"/>
      <w:marLeft w:val="0"/>
      <w:marRight w:val="0"/>
      <w:marTop w:val="0"/>
      <w:marBottom w:val="0"/>
      <w:divBdr>
        <w:top w:val="none" w:sz="0" w:space="0" w:color="auto"/>
        <w:left w:val="none" w:sz="0" w:space="0" w:color="auto"/>
        <w:bottom w:val="none" w:sz="0" w:space="0" w:color="auto"/>
        <w:right w:val="none" w:sz="0" w:space="0" w:color="auto"/>
      </w:divBdr>
    </w:div>
    <w:div w:id="527448817">
      <w:bodyDiv w:val="1"/>
      <w:marLeft w:val="0"/>
      <w:marRight w:val="0"/>
      <w:marTop w:val="0"/>
      <w:marBottom w:val="0"/>
      <w:divBdr>
        <w:top w:val="none" w:sz="0" w:space="0" w:color="auto"/>
        <w:left w:val="none" w:sz="0" w:space="0" w:color="auto"/>
        <w:bottom w:val="none" w:sz="0" w:space="0" w:color="auto"/>
        <w:right w:val="none" w:sz="0" w:space="0" w:color="auto"/>
      </w:divBdr>
    </w:div>
    <w:div w:id="538709025">
      <w:bodyDiv w:val="1"/>
      <w:marLeft w:val="0"/>
      <w:marRight w:val="0"/>
      <w:marTop w:val="0"/>
      <w:marBottom w:val="0"/>
      <w:divBdr>
        <w:top w:val="none" w:sz="0" w:space="0" w:color="auto"/>
        <w:left w:val="none" w:sz="0" w:space="0" w:color="auto"/>
        <w:bottom w:val="none" w:sz="0" w:space="0" w:color="auto"/>
        <w:right w:val="none" w:sz="0" w:space="0" w:color="auto"/>
      </w:divBdr>
    </w:div>
    <w:div w:id="604046422">
      <w:bodyDiv w:val="1"/>
      <w:marLeft w:val="0"/>
      <w:marRight w:val="0"/>
      <w:marTop w:val="0"/>
      <w:marBottom w:val="0"/>
      <w:divBdr>
        <w:top w:val="none" w:sz="0" w:space="0" w:color="auto"/>
        <w:left w:val="none" w:sz="0" w:space="0" w:color="auto"/>
        <w:bottom w:val="none" w:sz="0" w:space="0" w:color="auto"/>
        <w:right w:val="none" w:sz="0" w:space="0" w:color="auto"/>
      </w:divBdr>
    </w:div>
    <w:div w:id="9759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pi.nc.gov/districts-schools/federal-program-monitoring"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coronavirus/2019-ncov/community/health-equity/race-ethnicity.html?CDC_AA_refVal=https%3A%2F%2Fwww.cdc.gov%2Fcoronavirus%2F2019-ncov%2Fneed-extra-precautions%2Fracial-ethnic-minorities.html" TargetMode="External"/><Relationship Id="rId3" Type="http://schemas.openxmlformats.org/officeDocument/2006/relationships/hyperlink" Target="https://www.ncleg.gov/documentsites/committees/JLEOC/Reports%20Received/2019%20Reports%20Received/UNC%20Laboratory%20Schools.pdf" TargetMode="External"/><Relationship Id="rId7" Type="http://schemas.openxmlformats.org/officeDocument/2006/relationships/hyperlink" Target="https://schoolcounselor.org/asca/media/asca/Publications/SchoolReentry.pdf" TargetMode="External"/><Relationship Id="rId2" Type="http://schemas.openxmlformats.org/officeDocument/2006/relationships/hyperlink" Target="https://www.ncleg.gov/documentsites/committees/JLEOC/Reports%20Received/2018%20Reports%20Received/Laboratory%20Schools%20-%20Review%20&amp;%20Evaluation%20of%20Educational%20Effectiveness.pdf" TargetMode="External"/><Relationship Id="rId1" Type="http://schemas.openxmlformats.org/officeDocument/2006/relationships/hyperlink" Target="https://www.northcarolina.edu/unc-lab-schools" TargetMode="External"/><Relationship Id="rId6" Type="http://schemas.openxmlformats.org/officeDocument/2006/relationships/hyperlink" Target="https://www.mckinsey.com/~/media/McKinsey/Industries/Public%20Sector/Our%20Insights/COVID-19%20and%20student%20learning%20in%20the%20United%20States%20The%20hurt%20could%20last%20a%20lifetime/COVID-19-and-student-learning-in-the-United-States-FINAL.pdf" TargetMode="External"/><Relationship Id="rId5" Type="http://schemas.openxmlformats.org/officeDocument/2006/relationships/hyperlink" Target="https://doi.org/10.26300/cdrv-yw05" TargetMode="External"/><Relationship Id="rId4" Type="http://schemas.openxmlformats.org/officeDocument/2006/relationships/hyperlink" Target="https://docs.google.com/document/d/1z5Mp2XzOOPkBYN4YvROz4YOyNIF2UoWq9EZfrjvN4x8/preview?pru=AAABcsdvjwA*1iDZr-5T77y9JJ2lXMcxvg" TargetMode="External"/><Relationship Id="rId9" Type="http://schemas.openxmlformats.org/officeDocument/2006/relationships/hyperlink" Target="https://docs.google.com/document/d/1z5Mp2XzOOPkBYN4YvROz4YOyNIF2UoWq9EZfrjvN4x8/preview?pru=AAABcsdvjwA*1iDZr-5T77y9JJ2lXMcxvg"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Reading</c:v>
                </c:pt>
              </c:strCache>
            </c:strRef>
          </c:tx>
          <c:spPr>
            <a:ln w="28575" cap="rnd">
              <a:solidFill>
                <a:schemeClr val="tx1"/>
              </a:solidFill>
              <a:round/>
            </a:ln>
            <a:effectLst/>
          </c:spPr>
          <c:marker>
            <c:symbol val="none"/>
          </c:marker>
          <c:cat>
            <c:strRef>
              <c:f>Sheet1!$A$2:$A$4</c:f>
              <c:strCache>
                <c:ptCount val="3"/>
                <c:pt idx="0">
                  <c:v>2016-17 (Pre-Laboratory School)</c:v>
                </c:pt>
                <c:pt idx="1">
                  <c:v>2017-18 (1st Laboratory School Year)</c:v>
                </c:pt>
                <c:pt idx="2">
                  <c:v>2018-19 (2nd Laboratory School Year)</c:v>
                </c:pt>
              </c:strCache>
            </c:strRef>
          </c:cat>
          <c:val>
            <c:numRef>
              <c:f>Sheet1!$B$2:$B$4</c:f>
              <c:numCache>
                <c:formatCode>General</c:formatCode>
                <c:ptCount val="3"/>
                <c:pt idx="0">
                  <c:v>-1.07</c:v>
                </c:pt>
                <c:pt idx="1">
                  <c:v>-1.23</c:v>
                </c:pt>
                <c:pt idx="2">
                  <c:v>-0.98</c:v>
                </c:pt>
              </c:numCache>
            </c:numRef>
          </c:val>
          <c:smooth val="0"/>
          <c:extLst>
            <c:ext xmlns:c16="http://schemas.microsoft.com/office/drawing/2014/chart" uri="{C3380CC4-5D6E-409C-BE32-E72D297353CC}">
              <c16:uniqueId val="{00000000-9E5C-41B5-9528-333AD5FE8F54}"/>
            </c:ext>
          </c:extLst>
        </c:ser>
        <c:ser>
          <c:idx val="1"/>
          <c:order val="1"/>
          <c:tx>
            <c:strRef>
              <c:f>Sheet1!$C$1</c:f>
              <c:strCache>
                <c:ptCount val="1"/>
                <c:pt idx="0">
                  <c:v>Math</c:v>
                </c:pt>
              </c:strCache>
            </c:strRef>
          </c:tx>
          <c:spPr>
            <a:ln w="28575" cap="rnd">
              <a:solidFill>
                <a:schemeClr val="bg1">
                  <a:lumMod val="75000"/>
                </a:schemeClr>
              </a:solidFill>
              <a:round/>
            </a:ln>
            <a:effectLst/>
          </c:spPr>
          <c:marker>
            <c:symbol val="none"/>
          </c:marker>
          <c:cat>
            <c:strRef>
              <c:f>Sheet1!$A$2:$A$4</c:f>
              <c:strCache>
                <c:ptCount val="3"/>
                <c:pt idx="0">
                  <c:v>2016-17 (Pre-Laboratory School)</c:v>
                </c:pt>
                <c:pt idx="1">
                  <c:v>2017-18 (1st Laboratory School Year)</c:v>
                </c:pt>
                <c:pt idx="2">
                  <c:v>2018-19 (2nd Laboratory School Year)</c:v>
                </c:pt>
              </c:strCache>
            </c:strRef>
          </c:cat>
          <c:val>
            <c:numRef>
              <c:f>Sheet1!$C$2:$C$4</c:f>
              <c:numCache>
                <c:formatCode>General</c:formatCode>
                <c:ptCount val="3"/>
                <c:pt idx="0">
                  <c:v>-1.1599999999999999</c:v>
                </c:pt>
                <c:pt idx="1">
                  <c:v>-1.26</c:v>
                </c:pt>
                <c:pt idx="2">
                  <c:v>-1.02</c:v>
                </c:pt>
              </c:numCache>
            </c:numRef>
          </c:val>
          <c:smooth val="0"/>
          <c:extLst>
            <c:ext xmlns:c16="http://schemas.microsoft.com/office/drawing/2014/chart" uri="{C3380CC4-5D6E-409C-BE32-E72D297353CC}">
              <c16:uniqueId val="{00000001-9E5C-41B5-9528-333AD5FE8F54}"/>
            </c:ext>
          </c:extLst>
        </c:ser>
        <c:dLbls>
          <c:showLegendKey val="0"/>
          <c:showVal val="0"/>
          <c:showCatName val="0"/>
          <c:showSerName val="0"/>
          <c:showPercent val="0"/>
          <c:showBubbleSize val="0"/>
        </c:dLbls>
        <c:smooth val="0"/>
        <c:axId val="291037887"/>
        <c:axId val="159501471"/>
      </c:lineChart>
      <c:catAx>
        <c:axId val="291037887"/>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9501471"/>
        <c:crosses val="autoZero"/>
        <c:auto val="1"/>
        <c:lblAlgn val="ctr"/>
        <c:lblOffset val="100"/>
        <c:noMultiLvlLbl val="0"/>
      </c:catAx>
      <c:valAx>
        <c:axId val="159501471"/>
        <c:scaling>
          <c:orientation val="minMax"/>
          <c:max val="-0.60000000000000009"/>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103788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Reading</c:v>
                </c:pt>
              </c:strCache>
            </c:strRef>
          </c:tx>
          <c:spPr>
            <a:ln w="28575" cap="rnd">
              <a:solidFill>
                <a:schemeClr val="tx1"/>
              </a:solidFill>
              <a:round/>
            </a:ln>
            <a:effectLst/>
          </c:spPr>
          <c:marker>
            <c:symbol val="none"/>
          </c:marker>
          <c:cat>
            <c:strRef>
              <c:f>Sheet1!$A$2:$A$4</c:f>
              <c:strCache>
                <c:ptCount val="3"/>
                <c:pt idx="0">
                  <c:v>2016-17 (Pre-Laboratory School)</c:v>
                </c:pt>
                <c:pt idx="1">
                  <c:v>2017-18 (1st Laboratory School Year)</c:v>
                </c:pt>
                <c:pt idx="2">
                  <c:v>2018-19 (2nd Laboratory School Year)</c:v>
                </c:pt>
              </c:strCache>
            </c:strRef>
          </c:cat>
          <c:val>
            <c:numRef>
              <c:f>Sheet1!$B$2:$B$4</c:f>
              <c:numCache>
                <c:formatCode>General</c:formatCode>
                <c:ptCount val="3"/>
                <c:pt idx="0">
                  <c:v>-8.1000000000000003E-2</c:v>
                </c:pt>
                <c:pt idx="1">
                  <c:v>-6.9000000000000006E-2</c:v>
                </c:pt>
                <c:pt idx="2">
                  <c:v>-0.23499999999999999</c:v>
                </c:pt>
              </c:numCache>
            </c:numRef>
          </c:val>
          <c:smooth val="0"/>
          <c:extLst>
            <c:ext xmlns:c16="http://schemas.microsoft.com/office/drawing/2014/chart" uri="{C3380CC4-5D6E-409C-BE32-E72D297353CC}">
              <c16:uniqueId val="{00000000-466C-46B8-A9A0-FD2CF3462DA2}"/>
            </c:ext>
          </c:extLst>
        </c:ser>
        <c:ser>
          <c:idx val="1"/>
          <c:order val="1"/>
          <c:tx>
            <c:strRef>
              <c:f>Sheet1!$C$1</c:f>
              <c:strCache>
                <c:ptCount val="1"/>
                <c:pt idx="0">
                  <c:v>Math</c:v>
                </c:pt>
              </c:strCache>
            </c:strRef>
          </c:tx>
          <c:spPr>
            <a:ln w="28575" cap="rnd">
              <a:solidFill>
                <a:schemeClr val="bg1">
                  <a:lumMod val="75000"/>
                </a:schemeClr>
              </a:solidFill>
              <a:round/>
            </a:ln>
            <a:effectLst/>
          </c:spPr>
          <c:marker>
            <c:symbol val="none"/>
          </c:marker>
          <c:cat>
            <c:strRef>
              <c:f>Sheet1!$A$2:$A$4</c:f>
              <c:strCache>
                <c:ptCount val="3"/>
                <c:pt idx="0">
                  <c:v>2016-17 (Pre-Laboratory School)</c:v>
                </c:pt>
                <c:pt idx="1">
                  <c:v>2017-18 (1st Laboratory School Year)</c:v>
                </c:pt>
                <c:pt idx="2">
                  <c:v>2018-19 (2nd Laboratory School Year)</c:v>
                </c:pt>
              </c:strCache>
            </c:strRef>
          </c:cat>
          <c:val>
            <c:numRef>
              <c:f>Sheet1!$C$2:$C$4</c:f>
              <c:numCache>
                <c:formatCode>General</c:formatCode>
                <c:ptCount val="3"/>
                <c:pt idx="0">
                  <c:v>-0.40500000000000003</c:v>
                </c:pt>
                <c:pt idx="1">
                  <c:v>-0.47899999999999998</c:v>
                </c:pt>
                <c:pt idx="2">
                  <c:v>-0.57999999999999996</c:v>
                </c:pt>
              </c:numCache>
            </c:numRef>
          </c:val>
          <c:smooth val="0"/>
          <c:extLst>
            <c:ext xmlns:c16="http://schemas.microsoft.com/office/drawing/2014/chart" uri="{C3380CC4-5D6E-409C-BE32-E72D297353CC}">
              <c16:uniqueId val="{00000001-466C-46B8-A9A0-FD2CF3462DA2}"/>
            </c:ext>
          </c:extLst>
        </c:ser>
        <c:dLbls>
          <c:showLegendKey val="0"/>
          <c:showVal val="0"/>
          <c:showCatName val="0"/>
          <c:showSerName val="0"/>
          <c:showPercent val="0"/>
          <c:showBubbleSize val="0"/>
        </c:dLbls>
        <c:smooth val="0"/>
        <c:axId val="871786463"/>
        <c:axId val="711751935"/>
      </c:lineChart>
      <c:catAx>
        <c:axId val="871786463"/>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11751935"/>
        <c:crosses val="autoZero"/>
        <c:auto val="1"/>
        <c:lblAlgn val="ctr"/>
        <c:lblOffset val="100"/>
        <c:noMultiLvlLbl val="0"/>
      </c:catAx>
      <c:valAx>
        <c:axId val="711751935"/>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178646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5479ED8D77A4C985800B8BB16ACE7" ma:contentTypeVersion="" ma:contentTypeDescription="Create a new document." ma:contentTypeScope="" ma:versionID="ad14bc34501318d9a564d97daa5d71a0">
  <xsd:schema xmlns:xsd="http://www.w3.org/2001/XMLSchema" xmlns:xs="http://www.w3.org/2001/XMLSchema" xmlns:p="http://schemas.microsoft.com/office/2006/metadata/properties" xmlns:ns2="07af2bf5-1c1b-470e-9bc9-366f68c0f59b" targetNamespace="http://schemas.microsoft.com/office/2006/metadata/properties" ma:root="true" ma:fieldsID="54298bff45575bade3f70b2820d2a3e7" ns2:_="">
    <xsd:import namespace="07af2bf5-1c1b-470e-9bc9-366f68c0f5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af2bf5-1c1b-470e-9bc9-366f68c0f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10E07-C44C-40B7-92F7-5BC935B81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af2bf5-1c1b-470e-9bc9-366f68c0f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84D874-36B9-47F4-B4E4-E1CE29F064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2F3E96-F522-4813-9581-E1EC1B471C0D}">
  <ds:schemaRefs>
    <ds:schemaRef ds:uri="http://schemas.microsoft.com/sharepoint/v3/contenttype/forms"/>
  </ds:schemaRefs>
</ds:datastoreItem>
</file>

<file path=customXml/itemProps4.xml><?xml version="1.0" encoding="utf-8"?>
<ds:datastoreItem xmlns:ds="http://schemas.openxmlformats.org/officeDocument/2006/customXml" ds:itemID="{B95A2C80-9009-4EF3-B860-894645C3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59</Pages>
  <Words>24721</Words>
  <Characters>140912</Characters>
  <Application>Microsoft Office Word</Application>
  <DocSecurity>0</DocSecurity>
  <Lines>1174</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165303</CharactersWithSpaces>
  <SharedDoc>false</SharedDoc>
  <HLinks>
    <vt:vector size="30" baseType="variant">
      <vt:variant>
        <vt:i4>5767262</vt:i4>
      </vt:variant>
      <vt:variant>
        <vt:i4>12</vt:i4>
      </vt:variant>
      <vt:variant>
        <vt:i4>0</vt:i4>
      </vt:variant>
      <vt:variant>
        <vt:i4>5</vt:i4>
      </vt:variant>
      <vt:variant>
        <vt:lpwstr>http://www.ncpublicschools.org/accountability/reporting/</vt:lpwstr>
      </vt:variant>
      <vt:variant>
        <vt:lpwstr/>
      </vt:variant>
      <vt:variant>
        <vt:i4>5767262</vt:i4>
      </vt:variant>
      <vt:variant>
        <vt:i4>9</vt:i4>
      </vt:variant>
      <vt:variant>
        <vt:i4>0</vt:i4>
      </vt:variant>
      <vt:variant>
        <vt:i4>5</vt:i4>
      </vt:variant>
      <vt:variant>
        <vt:lpwstr>http://www.ncpublicschools.org/accountability/reporting/</vt:lpwstr>
      </vt:variant>
      <vt:variant>
        <vt:lpwstr/>
      </vt:variant>
      <vt:variant>
        <vt:i4>2818164</vt:i4>
      </vt:variant>
      <vt:variant>
        <vt:i4>6</vt:i4>
      </vt:variant>
      <vt:variant>
        <vt:i4>0</vt:i4>
      </vt:variant>
      <vt:variant>
        <vt:i4>5</vt:i4>
      </vt:variant>
      <vt:variant>
        <vt:lpwstr>https://www.ncleg.gov/documentsites/committees/JLEOC/Reports Received/2019 Reports Received/UNC Laboratory Schools.pdf</vt:lpwstr>
      </vt:variant>
      <vt:variant>
        <vt:lpwstr/>
      </vt:variant>
      <vt:variant>
        <vt:i4>393289</vt:i4>
      </vt:variant>
      <vt:variant>
        <vt:i4>3</vt:i4>
      </vt:variant>
      <vt:variant>
        <vt:i4>0</vt:i4>
      </vt:variant>
      <vt:variant>
        <vt:i4>5</vt:i4>
      </vt:variant>
      <vt:variant>
        <vt:lpwstr>https://www.ncleg.gov/documentsites/committees/JLEOC/Reports Received/2018 Reports Received/Laboratory Schools - Review &amp; Evaluation of Educational Effectiveness.pdf</vt:lpwstr>
      </vt:variant>
      <vt:variant>
        <vt:lpwstr/>
      </vt:variant>
      <vt:variant>
        <vt:i4>4849742</vt:i4>
      </vt:variant>
      <vt:variant>
        <vt:i4>0</vt:i4>
      </vt:variant>
      <vt:variant>
        <vt:i4>0</vt:i4>
      </vt:variant>
      <vt:variant>
        <vt:i4>5</vt:i4>
      </vt:variant>
      <vt:variant>
        <vt:lpwstr>https://www.northcarolina.edu/unc-lab-schools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Kim</dc:creator>
  <cp:keywords/>
  <dc:description/>
  <cp:lastModifiedBy>Kevin Bastian</cp:lastModifiedBy>
  <cp:revision>10</cp:revision>
  <dcterms:created xsi:type="dcterms:W3CDTF">2020-10-06T17:13:00Z</dcterms:created>
  <dcterms:modified xsi:type="dcterms:W3CDTF">2020-10-06T17:48:00Z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0x010100F845479ED8D77A4C985800B8BB16ACE7</vt:lpwstr>
  </property>
</Properties>
</file>